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Bair Teresa Brophy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KURA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4930 DIRECTORS PLACE,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Kura Oncology, Inc.</w:t>
              </w:r>
            </w:hyperlink>
            <w:r>
              <w:rPr/>
              <w:t xml:space="preserve"> [ </w:t>
            </w:r>
            <w:r>
              <w:rPr>
                <w:rFonts w:ascii="Times;serif" w:hAnsi="Times;serif"/>
                <w:color w:val="0000FF"/>
                <w:sz w:val="24"/>
                <w:shd w:fill="FFFFFF" w:val="clear"/>
              </w:rPr>
              <w:t>KURA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31,487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12.63</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195,444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sold were acquired by the Reporting Person upon vesting of restricted stock units during the period from January 26, 2024 through January 26, 2026. The sales reported herein were effected pursuant to a Rule 10b5-1 trading plan adopted by the Reporting Person on May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$12.44 to $12.83.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Bair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3058" TargetMode="External"/><Relationship Id="rId5" Type="http://schemas.openxmlformats.org/officeDocument/2006/relationships/hyperlink" Target="http://www.sec.gov/cgi-bin/browse-edgar?action=getcompany&amp;CIK=0001422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3649</Characters>
  <CharactersWithSpaces>4259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