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13D</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Zeta Acquisition Corp.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72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Issuer)</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72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(Title of Class of Securities)</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72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(CUSIP Number)</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Argyris Vassiliou</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45 - 10 Court Square, FL#2</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Long Island City, NY 11101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(718) 784-8020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67945</wp:posOffset>
            </wp:positionV>
            <wp:extent cx="7314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and Telephone Number of Person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Authorized to Receive Notices and Communications)</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April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72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Event which Requires Filing of this Statement)</w:t>
      </w:r>
    </w:p>
    <w:p>
      <w:pPr>
        <w:spacing w:after="0" w:line="257"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200" w:lineRule="exact"/>
        <w:rPr>
          <w:sz w:val="24"/>
          <w:szCs w:val="24"/>
          <w:color w:val="auto"/>
        </w:rPr>
      </w:pPr>
    </w:p>
    <w:p>
      <w:pPr>
        <w:spacing w:after="0" w:line="269" w:lineRule="exact"/>
        <w:rPr>
          <w:sz w:val="24"/>
          <w:szCs w:val="24"/>
          <w:color w:val="auto"/>
        </w:rPr>
      </w:pPr>
    </w:p>
    <w:p>
      <w:pPr>
        <w:spacing w:after="0" w:line="30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26059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CUSIP No.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76465" cy="7378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7378065"/>
                    </a:xfrm>
                    <a:prstGeom prst="rect">
                      <a:avLst/>
                    </a:prstGeom>
                    <a:noFill/>
                  </pic:spPr>
                </pic:pic>
              </a:graphicData>
            </a:graphic>
          </wp:anchor>
        </w:drawing>
      </w:r>
    </w:p>
    <w:p>
      <w:pPr>
        <w:sectPr>
          <w:pgSz w:w="11900" w:h="16838" w:orient="portrait"/>
          <w:cols w:equalWidth="0" w:num="1">
            <w:col w:w="10219"/>
          </w:cols>
          <w:pgMar w:left="240" w:top="3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2</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3</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4</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5</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NAMES OF REPORTING PERSONS: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Argyris Vassiliou</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I.R.S. IDENTIFICATION NOS. OF ABOVE PERSONS (ENTITIES ONLY):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6" w:lineRule="exact"/>
        <w:rPr>
          <w:sz w:val="20"/>
          <w:szCs w:val="20"/>
          <w:color w:val="auto"/>
        </w:rPr>
      </w:pPr>
    </w:p>
    <w:p>
      <w:pPr>
        <w:ind w:left="320" w:hanging="310"/>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6"/>
          <w:szCs w:val="16"/>
          <w:color w:val="auto"/>
        </w:rPr>
        <w:t>o</w:t>
      </w:r>
    </w:p>
    <w:p>
      <w:pPr>
        <w:spacing w:after="0" w:line="30" w:lineRule="exact"/>
        <w:rPr>
          <w:rFonts w:ascii="Arial" w:cs="Arial" w:eastAsia="Arial" w:hAnsi="Arial"/>
          <w:sz w:val="17"/>
          <w:szCs w:val="17"/>
          <w:color w:val="auto"/>
        </w:rPr>
      </w:pPr>
    </w:p>
    <w:p>
      <w:pPr>
        <w:ind w:left="340" w:hanging="330"/>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6"/>
          <w:szCs w:val="16"/>
          <w:color w:val="auto"/>
        </w:rPr>
        <w:t>o</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SOURCE OF FUNDS (SEE INSTRUCTIONS):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PF</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CHECK IF DISCLOSURE OF LEGAL PROCEEDINGS IS REQUIRED PURSUANT TO ITEMS 2(d) OR 2(e):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CITIZENSHIP OR PLACE OF ORGANIZATION: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USA</w:t>
      </w:r>
    </w:p>
    <w:p>
      <w:pPr>
        <w:spacing w:after="0" w:line="224" w:lineRule="exact"/>
        <w:rPr>
          <w:sz w:val="20"/>
          <w:szCs w:val="20"/>
          <w:color w:val="auto"/>
        </w:rPr>
      </w:pPr>
    </w:p>
    <w:p>
      <w:pPr>
        <w:sectPr>
          <w:pgSz w:w="11900" w:h="16838" w:orient="portrait"/>
          <w:cols w:equalWidth="0" w:num="2">
            <w:col w:w="180" w:space="540"/>
            <w:col w:w="9499"/>
          </w:cols>
          <w:pgMar w:left="240" w:top="353"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SOLE VOTING POWER:</w:t>
      </w:r>
    </w:p>
    <w:p>
      <w:pPr>
        <w:spacing w:after="0" w:line="185" w:lineRule="auto"/>
        <w:tabs>
          <w:tab w:leader="none" w:pos="660" w:val="left"/>
        </w:tabs>
        <w:rPr>
          <w:sz w:val="20"/>
          <w:szCs w:val="20"/>
          <w:color w:val="auto"/>
        </w:rPr>
      </w:pPr>
      <w:r>
        <w:rPr>
          <w:rFonts w:ascii="Arial" w:cs="Arial" w:eastAsia="Arial" w:hAnsi="Arial"/>
          <w:sz w:val="24"/>
          <w:szCs w:val="24"/>
          <w:b w:val="1"/>
          <w:bCs w:val="1"/>
          <w:color w:val="auto"/>
        </w:rPr>
        <w:t>7</w:t>
      </w:r>
      <w:r>
        <w:rPr>
          <w:sz w:val="20"/>
          <w:szCs w:val="20"/>
          <w:color w:val="auto"/>
        </w:rPr>
        <w:tab/>
      </w:r>
      <w:r>
        <w:rPr>
          <w:rFonts w:ascii="Arial" w:cs="Arial" w:eastAsia="Arial" w:hAnsi="Arial"/>
          <w:sz w:val="14"/>
          <w:szCs w:val="14"/>
          <w:color w:val="auto"/>
        </w:rPr>
        <w:t>1,000,000</w:t>
      </w:r>
    </w:p>
    <w:p>
      <w:pPr>
        <w:spacing w:after="0" w:line="353" w:lineRule="exact"/>
        <w:rPr>
          <w:sz w:val="20"/>
          <w:szCs w:val="20"/>
          <w:color w:val="auto"/>
        </w:rPr>
      </w:pPr>
    </w:p>
    <w:p>
      <w:pPr>
        <w:sectPr>
          <w:pgSz w:w="11900" w:h="16838" w:orient="portrait"/>
          <w:cols w:equalWidth="0" w:num="2">
            <w:col w:w="1000" w:space="300"/>
            <w:col w:w="8919"/>
          </w:cols>
          <w:pgMar w:left="240" w:top="353" w:right="1440" w:bottom="1440" w:gutter="0" w:footer="0" w:header="0"/>
          <w:type w:val="continuous"/>
        </w:sectPr>
      </w:pPr>
    </w:p>
    <w:p>
      <w:pPr>
        <w:ind w:left="20"/>
        <w:spacing w:after="0" w:line="314" w:lineRule="auto"/>
        <w:rPr>
          <w:sz w:val="20"/>
          <w:szCs w:val="20"/>
          <w:color w:val="auto"/>
        </w:rPr>
      </w:pPr>
      <w:r>
        <w:rPr>
          <w:rFonts w:ascii="Arial" w:cs="Arial" w:eastAsia="Arial" w:hAnsi="Arial"/>
          <w:sz w:val="16"/>
          <w:szCs w:val="16"/>
          <w:color w:val="auto"/>
        </w:rPr>
        <w:t>SHARES BENEFICIALLY OWNED 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SHARED VOTING POWER:</w:t>
      </w:r>
    </w:p>
    <w:p>
      <w:pPr>
        <w:spacing w:after="0" w:line="539" w:lineRule="exact"/>
        <w:rPr>
          <w:sz w:val="20"/>
          <w:szCs w:val="20"/>
          <w:color w:val="auto"/>
        </w:rPr>
      </w:pPr>
    </w:p>
    <w:p>
      <w:pPr>
        <w:sectPr>
          <w:pgSz w:w="11900" w:h="16838" w:orient="portrait"/>
          <w:cols w:equalWidth="0" w:num="3">
            <w:col w:w="1200" w:space="100"/>
            <w:col w:w="160" w:space="520"/>
            <w:col w:w="8239"/>
          </w:cols>
          <w:pgMar w:left="240" w:top="353" w:right="1440"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EACH</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REPORTING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PERSON</w:t>
      </w:r>
    </w:p>
    <w:p>
      <w:pPr>
        <w:spacing w:after="0" w:line="20" w:lineRule="exact"/>
        <w:rPr>
          <w:sz w:val="20"/>
          <w:szCs w:val="20"/>
          <w:color w:val="auto"/>
        </w:rPr>
      </w:pPr>
      <w:r>
        <w:rPr>
          <w:sz w:val="20"/>
          <w:szCs w:val="20"/>
          <w:color w:val="auto"/>
        </w:rPr>
        <w:br w:type="column"/>
      </w:r>
    </w:p>
    <w:p>
      <w:pPr>
        <w:ind w:left="680"/>
        <w:spacing w:after="0" w:line="236" w:lineRule="auto"/>
        <w:rPr>
          <w:sz w:val="20"/>
          <w:szCs w:val="20"/>
          <w:color w:val="auto"/>
        </w:rPr>
      </w:pPr>
      <w:r>
        <w:rPr>
          <w:rFonts w:ascii="Arial" w:cs="Arial" w:eastAsia="Arial" w:hAnsi="Arial"/>
          <w:sz w:val="15"/>
          <w:szCs w:val="15"/>
          <w:color w:val="auto"/>
        </w:rPr>
        <w:t>SOLE DISPOSITIVE POWER:</w:t>
      </w:r>
    </w:p>
    <w:p>
      <w:pPr>
        <w:spacing w:after="0" w:line="186" w:lineRule="auto"/>
        <w:tabs>
          <w:tab w:leader="none" w:pos="660" w:val="left"/>
        </w:tabs>
        <w:rPr>
          <w:sz w:val="20"/>
          <w:szCs w:val="20"/>
          <w:color w:val="auto"/>
        </w:rPr>
      </w:pPr>
      <w:r>
        <w:rPr>
          <w:rFonts w:ascii="Arial" w:cs="Arial" w:eastAsia="Arial" w:hAnsi="Arial"/>
          <w:sz w:val="24"/>
          <w:szCs w:val="24"/>
          <w:b w:val="1"/>
          <w:bCs w:val="1"/>
          <w:color w:val="auto"/>
        </w:rPr>
        <w:t>9</w:t>
      </w:r>
      <w:r>
        <w:rPr>
          <w:sz w:val="20"/>
          <w:szCs w:val="20"/>
          <w:color w:val="auto"/>
        </w:rPr>
        <w:tab/>
      </w:r>
      <w:r>
        <w:rPr>
          <w:rFonts w:ascii="Arial" w:cs="Arial" w:eastAsia="Arial" w:hAnsi="Arial"/>
          <w:sz w:val="14"/>
          <w:szCs w:val="14"/>
          <w:color w:val="auto"/>
        </w:rPr>
        <w:t>1,000,000</w:t>
      </w:r>
    </w:p>
    <w:p>
      <w:pPr>
        <w:spacing w:after="0" w:line="352" w:lineRule="exact"/>
        <w:rPr>
          <w:sz w:val="20"/>
          <w:szCs w:val="20"/>
          <w:color w:val="auto"/>
        </w:rPr>
      </w:pPr>
    </w:p>
    <w:p>
      <w:pPr>
        <w:sectPr>
          <w:pgSz w:w="11900" w:h="16838" w:orient="portrait"/>
          <w:cols w:equalWidth="0" w:num="2">
            <w:col w:w="960" w:space="340"/>
            <w:col w:w="8919"/>
          </w:cols>
          <w:pgMar w:left="240" w:top="353" w:right="1440"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WITH</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SHARED DISPOSITIVE POWER:</w:t>
      </w:r>
    </w:p>
    <w:p>
      <w:pPr>
        <w:spacing w:after="0" w:line="450" w:lineRule="exact"/>
        <w:rPr>
          <w:sz w:val="20"/>
          <w:szCs w:val="20"/>
          <w:color w:val="auto"/>
        </w:rPr>
      </w:pPr>
    </w:p>
    <w:p>
      <w:pPr>
        <w:sectPr>
          <w:pgSz w:w="11900" w:h="16838" w:orient="portrait"/>
          <w:cols w:equalWidth="0" w:num="3">
            <w:col w:w="580" w:space="720"/>
            <w:col w:w="300" w:space="380"/>
            <w:col w:w="8239"/>
          </w:cols>
          <w:pgMar w:left="240" w:top="353" w:right="1440" w:bottom="1440" w:gutter="0" w:footer="0" w:header="0"/>
          <w:type w:val="continuous"/>
        </w:sectPr>
      </w:pPr>
    </w:p>
    <w:p>
      <w:pPr>
        <w:spacing w:after="0" w:line="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AGGREGATE AMOUNT BENEFICIALLY OWNED BY EACH REPORTING PERSON:</w:t>
      </w:r>
    </w:p>
    <w:p>
      <w:pPr>
        <w:ind w:left="20"/>
        <w:spacing w:after="0" w:line="185" w:lineRule="auto"/>
        <w:tabs>
          <w:tab w:leader="none" w:pos="700" w:val="left"/>
        </w:tabs>
        <w:rPr>
          <w:sz w:val="20"/>
          <w:szCs w:val="20"/>
          <w:color w:val="auto"/>
        </w:rPr>
      </w:pPr>
      <w:r>
        <w:rPr>
          <w:rFonts w:ascii="Arial" w:cs="Arial" w:eastAsia="Arial" w:hAnsi="Arial"/>
          <w:sz w:val="24"/>
          <w:szCs w:val="24"/>
          <w:b w:val="1"/>
          <w:bCs w:val="1"/>
          <w:color w:val="auto"/>
        </w:rPr>
        <w:t>11</w:t>
      </w:r>
      <w:r>
        <w:rPr>
          <w:sz w:val="20"/>
          <w:szCs w:val="20"/>
          <w:color w:val="auto"/>
        </w:rPr>
        <w:tab/>
      </w:r>
      <w:r>
        <w:rPr>
          <w:rFonts w:ascii="Arial" w:cs="Arial" w:eastAsia="Arial" w:hAnsi="Arial"/>
          <w:sz w:val="14"/>
          <w:szCs w:val="14"/>
          <w:color w:val="auto"/>
        </w:rPr>
        <w:t>1,000,000</w:t>
      </w:r>
    </w:p>
    <w:p>
      <w:pPr>
        <w:sectPr>
          <w:pgSz w:w="11900" w:h="16838" w:orient="portrait"/>
          <w:cols w:equalWidth="0" w:num="1">
            <w:col w:w="10219"/>
          </w:cols>
          <w:pgMar w:left="240" w:top="353"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12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CHECK IF THE AGGREGATE AMOUNT IN ROW (11) EXCLUDES CERTAIN SHARES (SEE INSTRUCTIONS):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63" w:lineRule="exact"/>
        <w:rPr>
          <w:sz w:val="20"/>
          <w:szCs w:val="20"/>
          <w:color w:val="auto"/>
        </w:rPr>
      </w:pPr>
    </w:p>
    <w:p>
      <w:pPr>
        <w:sectPr>
          <w:pgSz w:w="11900" w:h="16838" w:orient="portrait"/>
          <w:cols w:equalWidth="0" w:num="2">
            <w:col w:w="320" w:space="400"/>
            <w:col w:w="9499"/>
          </w:cols>
          <w:pgMar w:left="240" w:top="353" w:right="1440"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PERCENT OF CLASS REPRESENTED BY AMOUNT IN ROW (11):</w:t>
      </w:r>
    </w:p>
    <w:p>
      <w:pPr>
        <w:ind w:left="20"/>
        <w:spacing w:after="0" w:line="185" w:lineRule="auto"/>
        <w:tabs>
          <w:tab w:leader="none" w:pos="700" w:val="left"/>
        </w:tabs>
        <w:rPr>
          <w:sz w:val="20"/>
          <w:szCs w:val="20"/>
          <w:color w:val="auto"/>
        </w:rPr>
      </w:pPr>
      <w:r>
        <w:rPr>
          <w:rFonts w:ascii="Arial" w:cs="Arial" w:eastAsia="Arial" w:hAnsi="Arial"/>
          <w:sz w:val="24"/>
          <w:szCs w:val="24"/>
          <w:b w:val="1"/>
          <w:bCs w:val="1"/>
          <w:color w:val="auto"/>
        </w:rPr>
        <w:t>13</w:t>
      </w:r>
      <w:r>
        <w:rPr>
          <w:sz w:val="20"/>
          <w:szCs w:val="20"/>
          <w:color w:val="auto"/>
        </w:rPr>
        <w:tab/>
      </w:r>
      <w:r>
        <w:rPr>
          <w:rFonts w:ascii="Arial" w:cs="Arial" w:eastAsia="Arial" w:hAnsi="Arial"/>
          <w:sz w:val="14"/>
          <w:szCs w:val="14"/>
          <w:color w:val="auto"/>
        </w:rPr>
        <w:t>20%</w:t>
      </w:r>
    </w:p>
    <w:p>
      <w:pPr>
        <w:spacing w:after="0" w:line="3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TYPE OF REPORTING PERSON (SEE INSTRUCTIONS):</w:t>
      </w:r>
    </w:p>
    <w:p>
      <w:pPr>
        <w:ind w:left="20"/>
        <w:spacing w:after="0" w:line="185" w:lineRule="auto"/>
        <w:tabs>
          <w:tab w:leader="none" w:pos="700" w:val="left"/>
        </w:tabs>
        <w:rPr>
          <w:sz w:val="20"/>
          <w:szCs w:val="20"/>
          <w:color w:val="auto"/>
        </w:rPr>
      </w:pPr>
      <w:r>
        <w:rPr>
          <w:rFonts w:ascii="Arial" w:cs="Arial" w:eastAsia="Arial" w:hAnsi="Arial"/>
          <w:sz w:val="24"/>
          <w:szCs w:val="24"/>
          <w:b w:val="1"/>
          <w:bCs w:val="1"/>
          <w:color w:val="auto"/>
        </w:rPr>
        <w:t>14</w:t>
      </w:r>
      <w:r>
        <w:rPr>
          <w:sz w:val="20"/>
          <w:szCs w:val="20"/>
          <w:color w:val="auto"/>
        </w:rPr>
        <w:tab/>
      </w:r>
      <w:r>
        <w:rPr>
          <w:rFonts w:ascii="Arial" w:cs="Arial" w:eastAsia="Arial" w:hAnsi="Arial"/>
          <w:sz w:val="14"/>
          <w:szCs w:val="14"/>
          <w:color w:val="auto"/>
        </w:rPr>
        <w:t>IN</w:t>
      </w:r>
    </w:p>
    <w:p>
      <w:pPr>
        <w:spacing w:after="0" w:line="200" w:lineRule="exact"/>
        <w:rPr>
          <w:sz w:val="20"/>
          <w:szCs w:val="20"/>
          <w:color w:val="auto"/>
        </w:rPr>
      </w:pPr>
    </w:p>
    <w:p>
      <w:pPr>
        <w:spacing w:after="0" w:line="359"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353"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 Security and Issuer.</w:t>
      </w:r>
    </w:p>
    <w:p>
      <w:pPr>
        <w:spacing w:after="0" w:line="236" w:lineRule="exact"/>
        <w:rPr>
          <w:sz w:val="20"/>
          <w:szCs w:val="20"/>
          <w:color w:val="auto"/>
        </w:rPr>
      </w:pPr>
    </w:p>
    <w:p>
      <w:pPr>
        <w:ind w:firstLine="453"/>
        <w:spacing w:after="0" w:line="268" w:lineRule="auto"/>
        <w:rPr>
          <w:sz w:val="20"/>
          <w:szCs w:val="20"/>
          <w:color w:val="auto"/>
        </w:rPr>
      </w:pPr>
      <w:r>
        <w:rPr>
          <w:rFonts w:ascii="Arial" w:cs="Arial" w:eastAsia="Arial" w:hAnsi="Arial"/>
          <w:sz w:val="17"/>
          <w:szCs w:val="17"/>
          <w:color w:val="auto"/>
        </w:rPr>
        <w:t>This Schedule 13D relates to the common stock, par value $0.0001 per share (the “Common Stock”) of Zeta Acquisition Corp. III, whose principal executive offices are located at c/o Equity Dynamics Inc., 666 Walnut Street, Suite 2116, Des Moines, IA 50309 (the “Issuer”).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Identity and Background.</w:t>
      </w:r>
    </w:p>
    <w:p>
      <w:pPr>
        <w:spacing w:after="0" w:line="261" w:lineRule="exact"/>
        <w:rPr>
          <w:sz w:val="20"/>
          <w:szCs w:val="20"/>
          <w:color w:val="auto"/>
        </w:rPr>
      </w:pPr>
    </w:p>
    <w:p>
      <w:pPr>
        <w:ind w:left="680" w:hanging="227"/>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name of the reporting person is Argyris Vassiliou (the “Reporting Person”).</w:t>
      </w:r>
    </w:p>
    <w:p>
      <w:pPr>
        <w:spacing w:after="0" w:line="257" w:lineRule="exact"/>
        <w:rPr>
          <w:rFonts w:ascii="Arial" w:cs="Arial" w:eastAsia="Arial" w:hAnsi="Arial"/>
          <w:sz w:val="17"/>
          <w:szCs w:val="17"/>
          <w:color w:val="auto"/>
        </w:rPr>
      </w:pPr>
    </w:p>
    <w:p>
      <w:pPr>
        <w:ind w:left="700" w:hanging="247"/>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business address of the Reporting Person is 45 - 10 Court Square, FL#2, Long Island City, NY 11101.</w:t>
      </w:r>
    </w:p>
    <w:p>
      <w:pPr>
        <w:spacing w:after="0" w:line="257" w:lineRule="exact"/>
        <w:rPr>
          <w:rFonts w:ascii="Arial" w:cs="Arial" w:eastAsia="Arial" w:hAnsi="Arial"/>
          <w:sz w:val="17"/>
          <w:szCs w:val="17"/>
          <w:color w:val="auto"/>
        </w:rPr>
      </w:pPr>
    </w:p>
    <w:p>
      <w:pPr>
        <w:ind w:firstLine="453"/>
        <w:spacing w:after="0" w:line="336" w:lineRule="auto"/>
        <w:tabs>
          <w:tab w:leader="none" w:pos="6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Reporting Person’s present principal occupation or employment and the name, principal business and address of any corporation or other organization in which such employment is conducted is President of ACME Pallet Company, Inc., located at 45 - 10 Court Square, FL#2, Long Island City, NY 11101.</w:t>
      </w:r>
    </w:p>
    <w:p>
      <w:pPr>
        <w:spacing w:after="0" w:line="170" w:lineRule="exact"/>
        <w:rPr>
          <w:rFonts w:ascii="Arial" w:cs="Arial" w:eastAsia="Arial" w:hAnsi="Arial"/>
          <w:sz w:val="15"/>
          <w:szCs w:val="15"/>
          <w:color w:val="auto"/>
        </w:rPr>
      </w:pPr>
    </w:p>
    <w:p>
      <w:pPr>
        <w:ind w:left="700" w:hanging="247"/>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Reporting Person has not, during the last five years, been convicted in a criminal proceeding (excluding traffic violations or similar misdemeanors).</w:t>
      </w:r>
    </w:p>
    <w:p>
      <w:pPr>
        <w:spacing w:after="0" w:line="268" w:lineRule="exact"/>
        <w:rPr>
          <w:rFonts w:ascii="Arial" w:cs="Arial" w:eastAsia="Arial" w:hAnsi="Arial"/>
          <w:sz w:val="16"/>
          <w:szCs w:val="16"/>
          <w:color w:val="auto"/>
        </w:rPr>
      </w:pPr>
    </w:p>
    <w:p>
      <w:pPr>
        <w:jc w:val="both"/>
        <w:ind w:firstLine="453"/>
        <w:spacing w:after="0" w:line="257"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201" w:lineRule="exact"/>
        <w:rPr>
          <w:rFonts w:ascii="Arial" w:cs="Arial" w:eastAsia="Arial" w:hAnsi="Arial"/>
          <w:sz w:val="17"/>
          <w:szCs w:val="17"/>
          <w:color w:val="auto"/>
        </w:rPr>
      </w:pPr>
    </w:p>
    <w:p>
      <w:pPr>
        <w:ind w:left="660" w:hanging="207"/>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Reporting Person is a citizen of the U.S.A.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Source and Amount of Funds or Other Consideration.</w:t>
      </w:r>
    </w:p>
    <w:p>
      <w:pPr>
        <w:spacing w:after="0" w:line="261" w:lineRule="exact"/>
        <w:rPr>
          <w:sz w:val="20"/>
          <w:szCs w:val="20"/>
          <w:color w:val="auto"/>
        </w:rPr>
      </w:pPr>
    </w:p>
    <w:p>
      <w:pPr>
        <w:jc w:val="both"/>
        <w:ind w:firstLine="453"/>
        <w:spacing w:after="0" w:line="254" w:lineRule="auto"/>
        <w:rPr>
          <w:sz w:val="20"/>
          <w:szCs w:val="20"/>
          <w:color w:val="auto"/>
        </w:rPr>
      </w:pPr>
      <w:r>
        <w:rPr>
          <w:rFonts w:ascii="Arial" w:cs="Arial" w:eastAsia="Arial" w:hAnsi="Arial"/>
          <w:sz w:val="17"/>
          <w:szCs w:val="17"/>
          <w:color w:val="auto"/>
        </w:rPr>
        <w:t>On December 14, 2007, AANA Ltd. purchased 625,000 shares of Common Stock directly from the Issuer for an aggregate purchase price equal to $6,250. Mr. Vassiliou, his wife and his two minor children are the owners of AANA Ltd. Mr. Vassiliou has sole investment and voting power of the shares of Common Stock owned by AANA Ltd. Accordingly, by virtue of his sole investment and voting control of the securities owned by AANA Ltd., Mr. Vassiliou may be deemed to be an indirect beneficial owner of the 625,000 shares of Common Stock owned by AANA Ltd.</w:t>
      </w:r>
    </w:p>
    <w:p>
      <w:pPr>
        <w:spacing w:after="0" w:line="228" w:lineRule="exact"/>
        <w:rPr>
          <w:sz w:val="20"/>
          <w:szCs w:val="20"/>
          <w:color w:val="auto"/>
        </w:rPr>
      </w:pPr>
    </w:p>
    <w:p>
      <w:pPr>
        <w:jc w:val="both"/>
        <w:ind w:firstLine="453"/>
        <w:spacing w:after="0" w:line="254" w:lineRule="auto"/>
        <w:rPr>
          <w:sz w:val="20"/>
          <w:szCs w:val="20"/>
          <w:color w:val="auto"/>
        </w:rPr>
      </w:pPr>
      <w:r>
        <w:rPr>
          <w:rFonts w:ascii="Arial" w:cs="Arial" w:eastAsia="Arial" w:hAnsi="Arial"/>
          <w:sz w:val="17"/>
          <w:szCs w:val="17"/>
          <w:color w:val="auto"/>
        </w:rPr>
        <w:t>On December 14, 2007, NICALE Partners purchased 375,000 shares of Common Stock directly from the Issuer for an aggregate purchase price equal to $3,750. Mr. Vassiliou’s minor children are the owners of NICALE Partners. Mr. Vassiliou has sole investment and voting power of the shares of Common Stock owned by NICALE Partners. Accordingly, by virtue of his sole investment and voting control of the securities owned by NICALE Partners, Mr. Vassiliou may be deemed to be an indirect beneficial owner of the 375,000 shares of Common Stock owned by NICALE Partners.</w:t>
      </w:r>
    </w:p>
    <w:p>
      <w:pPr>
        <w:spacing w:after="0" w:line="203"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7"/>
          <w:szCs w:val="17"/>
          <w:color w:val="auto"/>
        </w:rPr>
        <w:t>The source of funds used to purchase the securities reported herein was the working capital of AANA Ltd. and NICALE Partners, with respect to each company’s shares of Common Stock, over which the Reporting Person has investment discretion.</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borrowed funds were used to purchase the Common Stock, other than any borrowed funds used for working capital purposes in the ordinary course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Purpose of Transaction.</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Interest in Securities of the Issuer.</w:t>
      </w:r>
    </w:p>
    <w:p>
      <w:pPr>
        <w:spacing w:after="0" w:line="261" w:lineRule="exact"/>
        <w:rPr>
          <w:sz w:val="20"/>
          <w:szCs w:val="20"/>
          <w:color w:val="auto"/>
        </w:rPr>
      </w:pPr>
    </w:p>
    <w:p>
      <w:pPr>
        <w:ind w:firstLine="453"/>
        <w:spacing w:after="0" w:line="268" w:lineRule="auto"/>
        <w:tabs>
          <w:tab w:leader="none" w:pos="69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Reporting Person beneficially owns an aggregate of 1,000,000 shares of Common Stock, representing 20% of the outstanding shares of Common Stock (based, as to the number of outstanding shares, upon the Issuer’s Form 10-SB filed on February 1, 2008.)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 w:name="page4"/>
    <w:bookmarkEnd w:id="3"/>
    <w:p>
      <w:pPr>
        <w:ind w:left="700" w:hanging="247"/>
        <w:spacing w:after="0"/>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Reporting Person has the sole right to vote and dispose, or direct the disposition, of the 1,000,000 shares of Common Stock owned by the Reporting</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Person.</w:t>
      </w:r>
    </w:p>
    <w:p>
      <w:pPr>
        <w:spacing w:after="0" w:line="219" w:lineRule="exact"/>
        <w:rPr>
          <w:rFonts w:ascii="Arial" w:cs="Arial" w:eastAsia="Arial" w:hAnsi="Arial"/>
          <w:sz w:val="15"/>
          <w:szCs w:val="15"/>
          <w:color w:val="auto"/>
        </w:rPr>
      </w:pPr>
    </w:p>
    <w:p>
      <w:pPr>
        <w:ind w:firstLine="453"/>
        <w:spacing w:after="0" w:line="268"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625,000 and 375,000 shares of Common Stock reported herein were acquired by AANA Ltd. and NICALE Partners, respectively, from the Issuer effective December 14, 2007.</w:t>
      </w:r>
    </w:p>
    <w:p>
      <w:pPr>
        <w:spacing w:after="0" w:line="191" w:lineRule="exact"/>
        <w:rPr>
          <w:rFonts w:ascii="Arial" w:cs="Arial" w:eastAsia="Arial" w:hAnsi="Arial"/>
          <w:sz w:val="17"/>
          <w:szCs w:val="17"/>
          <w:color w:val="auto"/>
        </w:rPr>
      </w:pPr>
    </w:p>
    <w:p>
      <w:pPr>
        <w:ind w:firstLine="453"/>
        <w:spacing w:after="0" w:line="268" w:lineRule="auto"/>
        <w:tabs>
          <w:tab w:leader="none" w:pos="69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than the Reporting Person, no other person is known to have the right to receive or the power to direct the receipt of dividends from, or the proceeds from the sale of, the 1,000,000 shares of Common Stock owned by the Reporting Person.</w:t>
      </w:r>
    </w:p>
    <w:p>
      <w:pPr>
        <w:spacing w:after="0" w:line="191" w:lineRule="exact"/>
        <w:rPr>
          <w:rFonts w:ascii="Arial" w:cs="Arial" w:eastAsia="Arial" w:hAnsi="Arial"/>
          <w:sz w:val="17"/>
          <w:szCs w:val="17"/>
          <w:color w:val="auto"/>
        </w:rPr>
      </w:pPr>
    </w:p>
    <w:p>
      <w:pPr>
        <w:ind w:left="680" w:hanging="227"/>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Contracts, Arrangements, Understandings or Relationships with Respect to Securities of the Issuer.</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Material to Be Filed as Exhibits.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April 1, 2008</w:t>
      </w: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ARGYRIS VASSILIOU</w:t>
      </w: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/s/ Argyris Vassiliou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88900</wp:posOffset>
            </wp:positionV>
            <wp:extent cx="28143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14320" cy="20955"/>
                    </a:xfrm>
                    <a:prstGeom prst="rect">
                      <a:avLst/>
                    </a:prstGeom>
                    <a:noFill/>
                  </pic:spPr>
                </pic:pic>
              </a:graphicData>
            </a:graphic>
          </wp:anchor>
        </w:drawing>
      </w:r>
    </w:p>
    <w:p>
      <w:pPr>
        <w:spacing w:after="0" w:line="24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Argyris Vassiliou</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sectPr>
      <w:pgSz w:w="11900" w:h="16838" w:orient="portrait"/>
      <w:cols w:equalWidth="0" w:num="1">
        <w:col w:w="11420"/>
      </w:cols>
      <w:pgMar w:left="240" w:top="3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2019-12-15T15:40:37Z</dcterms:created>
  <dcterms:modified xsi:type="dcterms:W3CDTF">2019-12-15T15:40:37Z</dcterms:modified>
</cp:coreProperties>
</file>