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0" w:lineRule="exact"/>
        <w:rPr>
          <w:rFonts w:ascii="MS PGothic" w:cs="MS PGothic" w:eastAsia="MS PGothic" w:hAnsi="MS PGothic"/>
          <w:sz w:val="20"/>
          <w:szCs w:val="20"/>
          <w:color w:val="auto"/>
          <w:highlight w:val="black"/>
        </w:rPr>
      </w:pPr>
    </w:p>
    <w:p>
      <w:pPr>
        <w:ind w:left="3580"/>
        <w:spacing w:after="0" w:line="230" w:lineRule="auto"/>
        <w:rPr>
          <w:rFonts w:ascii="MS PGothic" w:cs="MS PGothic" w:eastAsia="MS PGothic" w:hAnsi="MS PGothic"/>
          <w:sz w:val="20"/>
          <w:szCs w:val="20"/>
          <w:color w:val="auto"/>
          <w:highlight w:val="black"/>
        </w:rPr>
      </w:pPr>
      <w:r>
        <w:rPr>
          <w:rFonts w:ascii="Arial" w:cs="Arial" w:eastAsia="Arial" w:hAnsi="Arial"/>
          <w:sz w:val="22"/>
          <w:szCs w:val="22"/>
          <w:b w:val="1"/>
          <w:bCs w:val="1"/>
          <w:color w:val="auto"/>
        </w:rPr>
        <w:t>For the Quarterly Period Ended June 30, 2017</w:t>
      </w:r>
    </w:p>
    <w:p>
      <w:pPr>
        <w:jc w:val="center"/>
        <w:ind w:right="-39"/>
        <w:spacing w:after="0" w:line="233" w:lineRule="auto"/>
        <w:rPr>
          <w:sz w:val="20"/>
          <w:szCs w:val="20"/>
          <w:color w:val="auto"/>
        </w:rPr>
      </w:pPr>
      <w:r>
        <w:rPr>
          <w:rFonts w:ascii="Arial" w:cs="Arial" w:eastAsia="Arial" w:hAnsi="Arial"/>
          <w:sz w:val="22"/>
          <w:szCs w:val="22"/>
          <w:b w:val="1"/>
          <w:bCs w:val="1"/>
          <w:color w:val="auto"/>
        </w:rPr>
        <w:t>or</w:t>
      </w:r>
    </w:p>
    <w:p>
      <w:pPr>
        <w:spacing w:after="0" w:line="1"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03" w:lineRule="exact"/>
        <w:rPr>
          <w:rFonts w:ascii="MS PGothic" w:cs="MS PGothic" w:eastAsia="MS PGothic" w:hAnsi="MS PGothic"/>
          <w:sz w:val="20"/>
          <w:szCs w:val="20"/>
          <w:color w:val="auto"/>
          <w:highlight w:val="black"/>
        </w:rPr>
      </w:pPr>
    </w:p>
    <w:p>
      <w:pPr>
        <w:ind w:left="362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For the Transition Period From ________ To ________</w:t>
      </w:r>
    </w:p>
    <w:p>
      <w:pPr>
        <w:spacing w:after="0" w:line="108" w:lineRule="exact"/>
        <w:rPr>
          <w:rFonts w:ascii="MS PGothic" w:cs="MS PGothic" w:eastAsia="MS PGothic" w:hAnsi="MS PGothic"/>
          <w:sz w:val="20"/>
          <w:szCs w:val="20"/>
          <w:color w:val="auto"/>
          <w:highlight w:val="black"/>
        </w:rPr>
      </w:pPr>
    </w:p>
    <w:p>
      <w:pPr>
        <w:ind w:left="4040"/>
        <w:spacing w:after="0"/>
        <w:rPr>
          <w:rFonts w:ascii="MS PGothic" w:cs="MS PGothic" w:eastAsia="MS PGothic" w:hAnsi="MS PGothic"/>
          <w:sz w:val="20"/>
          <w:szCs w:val="20"/>
          <w:color w:val="auto"/>
          <w:highlight w:val="black"/>
        </w:rPr>
      </w:pPr>
      <w:r>
        <w:rPr>
          <w:rFonts w:ascii="Arial" w:cs="Arial" w:eastAsia="Arial" w:hAnsi="Arial"/>
          <w:sz w:val="22"/>
          <w:szCs w:val="22"/>
          <w:b w:val="1"/>
          <w:bCs w:val="1"/>
          <w:color w:val="auto"/>
        </w:rPr>
        <w:t>Commission file number: 001-37620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53975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KURA ONCOLOGY,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6860" w:type="dxa"/>
            <w:vAlign w:val="bottom"/>
            <w:gridSpan w:val="3"/>
          </w:tcPr>
          <w:p>
            <w:pPr>
              <w:jc w:val="center"/>
              <w:ind w:right="3000"/>
              <w:spacing w:after="0"/>
              <w:rPr>
                <w:sz w:val="20"/>
                <w:szCs w:val="20"/>
                <w:color w:val="auto"/>
              </w:rPr>
            </w:pPr>
            <w:r>
              <w:rPr>
                <w:rFonts w:ascii="Arial" w:cs="Arial" w:eastAsia="Arial" w:hAnsi="Arial"/>
                <w:sz w:val="18"/>
                <w:szCs w:val="18"/>
                <w:b w:val="1"/>
                <w:bCs w:val="1"/>
                <w:color w:val="auto"/>
                <w:w w:val="93"/>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61-1547851</w:t>
            </w:r>
          </w:p>
        </w:tc>
      </w:tr>
      <w:tr>
        <w:trPr>
          <w:trHeight w:val="149"/>
        </w:trPr>
        <w:tc>
          <w:tcPr>
            <w:tcW w:w="6860" w:type="dxa"/>
            <w:vAlign w:val="bottom"/>
            <w:gridSpan w:val="3"/>
          </w:tcPr>
          <w:p>
            <w:pPr>
              <w:jc w:val="center"/>
              <w:ind w:right="30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860" w:type="dxa"/>
            <w:vAlign w:val="bottom"/>
            <w:gridSpan w:val="3"/>
          </w:tcPr>
          <w:p>
            <w:pPr>
              <w:jc w:val="center"/>
              <w:ind w:right="3000"/>
              <w:spacing w:after="0"/>
              <w:rPr>
                <w:sz w:val="20"/>
                <w:szCs w:val="20"/>
                <w:color w:val="auto"/>
              </w:rPr>
            </w:pPr>
            <w:r>
              <w:rPr>
                <w:rFonts w:ascii="Arial" w:cs="Arial" w:eastAsia="Arial" w:hAnsi="Arial"/>
                <w:sz w:val="14"/>
                <w:szCs w:val="14"/>
                <w:b w:val="1"/>
                <w:bCs w:val="1"/>
                <w:color w:val="auto"/>
                <w:w w:val="95"/>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300"/>
        </w:trPr>
        <w:tc>
          <w:tcPr>
            <w:tcW w:w="6860" w:type="dxa"/>
            <w:vAlign w:val="bottom"/>
            <w:gridSpan w:val="3"/>
          </w:tcPr>
          <w:p>
            <w:pPr>
              <w:jc w:val="center"/>
              <w:ind w:right="3000"/>
              <w:spacing w:after="0"/>
              <w:rPr>
                <w:sz w:val="20"/>
                <w:szCs w:val="20"/>
                <w:color w:val="auto"/>
              </w:rPr>
            </w:pPr>
            <w:r>
              <w:rPr>
                <w:rFonts w:ascii="Arial" w:cs="Arial" w:eastAsia="Arial" w:hAnsi="Arial"/>
                <w:sz w:val="18"/>
                <w:szCs w:val="18"/>
                <w:b w:val="1"/>
                <w:bCs w:val="1"/>
                <w:color w:val="auto"/>
                <w:w w:val="89"/>
              </w:rPr>
              <w:t>3033 Science Park Road, Suite 220, San Diego, CA</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92121</w:t>
            </w:r>
          </w:p>
        </w:tc>
      </w:tr>
      <w:tr>
        <w:trPr>
          <w:trHeight w:val="186"/>
        </w:trPr>
        <w:tc>
          <w:tcPr>
            <w:tcW w:w="6860" w:type="dxa"/>
            <w:vAlign w:val="bottom"/>
            <w:gridSpan w:val="3"/>
          </w:tcPr>
          <w:p>
            <w:pPr>
              <w:jc w:val="center"/>
              <w:ind w:right="30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59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(858) 500-8800</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6"/>
        </w:trPr>
        <w:tc>
          <w:tcPr>
            <w:tcW w:w="6860" w:type="dxa"/>
            <w:vAlign w:val="bottom"/>
            <w:gridSpan w:val="3"/>
          </w:tcPr>
          <w:p>
            <w:pPr>
              <w:jc w:val="center"/>
              <w:ind w:left="274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40" w:type="dxa"/>
            <w:vAlign w:val="bottom"/>
          </w:tcPr>
          <w:p>
            <w:pPr>
              <w:spacing w:after="0"/>
              <w:rPr>
                <w:sz w:val="16"/>
                <w:szCs w:val="16"/>
                <w:color w:val="auto"/>
              </w:rPr>
            </w:pPr>
          </w:p>
        </w:tc>
      </w:tr>
      <w:tr>
        <w:trPr>
          <w:trHeight w:val="66"/>
        </w:trPr>
        <w:tc>
          <w:tcPr>
            <w:tcW w:w="370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1440" w:type="dxa"/>
            <w:vAlign w:val="bottom"/>
          </w:tcPr>
          <w:p>
            <w:pPr>
              <w:spacing w:after="0"/>
              <w:rPr>
                <w:sz w:val="5"/>
                <w:szCs w:val="5"/>
                <w:color w:val="auto"/>
              </w:rPr>
            </w:pPr>
          </w:p>
        </w:tc>
      </w:tr>
    </w:tbl>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11119 North Torrey Pines Road, Suite 125, La Jolla, CA 92037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or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36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40" w:type="dxa"/>
            <w:vAlign w:val="bottom"/>
          </w:tcPr>
          <w:p>
            <w:pPr>
              <w:ind w:left="136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640" w:type="dxa"/>
            <w:vAlign w:val="bottom"/>
          </w:tcPr>
          <w:p>
            <w:pPr>
              <w:ind w:left="136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41" w:lineRule="exact"/>
        <w:rPr>
          <w:sz w:val="24"/>
          <w:szCs w:val="24"/>
          <w:color w:val="auto"/>
        </w:rPr>
      </w:pPr>
    </w:p>
    <w:p>
      <w:pPr>
        <w:spacing w:after="0" w:line="207" w:lineRule="exact"/>
        <w:tabs>
          <w:tab w:leader="none" w:pos="7540" w:val="left"/>
        </w:tabs>
        <w:rPr>
          <w:sz w:val="20"/>
          <w:szCs w:val="20"/>
          <w:color w:val="auto"/>
        </w:rPr>
      </w:pPr>
      <w:r>
        <w:rPr>
          <w:rFonts w:ascii="Arial" w:cs="Arial" w:eastAsia="Arial" w:hAnsi="Arial"/>
          <w:sz w:val="18"/>
          <w:szCs w:val="18"/>
          <w:color w:val="auto"/>
        </w:rPr>
        <w:t>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75" w:lineRule="exact"/>
        <w:rPr>
          <w:sz w:val="24"/>
          <w:szCs w:val="24"/>
          <w:color w:val="auto"/>
        </w:rPr>
      </w:pPr>
    </w:p>
    <w:p>
      <w:pPr>
        <w:spacing w:after="0" w:line="207" w:lineRule="exact"/>
        <w:tabs>
          <w:tab w:leader="none" w:pos="8080" w:val="left"/>
          <w:tab w:leader="none" w:pos="8760" w:val="left"/>
        </w:tabs>
        <w:rPr>
          <w:sz w:val="20"/>
          <w:szCs w:val="20"/>
          <w:color w:val="auto"/>
        </w:rPr>
      </w:pPr>
      <w:r>
        <w:rPr>
          <w:rFonts w:ascii="Arial" w:cs="Arial" w:eastAsia="Arial" w:hAnsi="Arial"/>
          <w:sz w:val="17"/>
          <w:szCs w:val="17"/>
          <w:color w:val="auto"/>
        </w:rPr>
        <w:t>Indicate by check mark whether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As of the close of business on August 2, 2017, the registrant had 21,374,709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465455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auto"/>
        </w:rPr>
        <w:t>KURA ONCOLOGY,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140" w:type="dxa"/>
            <w:vAlign w:val="bottom"/>
            <w:gridSpan w:val="6"/>
          </w:tcPr>
          <w:p>
            <w:pPr>
              <w:spacing w:after="0"/>
              <w:rPr>
                <w:sz w:val="17"/>
                <w:szCs w:val="17"/>
                <w:color w:val="auto"/>
              </w:rPr>
            </w:pPr>
          </w:p>
        </w:tc>
        <w:tc>
          <w:tcPr>
            <w:tcW w:w="1220" w:type="dxa"/>
            <w:vAlign w:val="bottom"/>
          </w:tcPr>
          <w:p>
            <w:pPr>
              <w:spacing w:after="0"/>
              <w:rPr>
                <w:sz w:val="17"/>
                <w:szCs w:val="17"/>
                <w:color w:val="auto"/>
              </w:rPr>
            </w:pPr>
          </w:p>
        </w:tc>
      </w:tr>
      <w:tr>
        <w:trPr>
          <w:trHeight w:val="318"/>
        </w:trPr>
        <w:tc>
          <w:tcPr>
            <w:tcW w:w="580" w:type="dxa"/>
            <w:vAlign w:val="bottom"/>
          </w:tcPr>
          <w:p>
            <w:pPr>
              <w:spacing w:after="0"/>
              <w:rPr>
                <w:sz w:val="24"/>
                <w:szCs w:val="24"/>
                <w:color w:val="auto"/>
              </w:rPr>
            </w:pPr>
          </w:p>
        </w:tc>
        <w:tc>
          <w:tcPr>
            <w:tcW w:w="96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22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8"/>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 As of June 30, 2017 (unaudited) and December 31, 2016</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8"/>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Statements of Operations and Comprehensive Loss – Three and Six Months Ended June 30, 2017 and 2016 (unaudited)</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 Six Months Ended June 30, 2017 and 2016 (unaudited)</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tcBorders>
              <w:top w:val="single" w:sz="8" w:color="0000EE"/>
            </w:tcBorders>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 (unaudited)</w:t>
              </w:r>
            </w:hyperlink>
          </w:p>
        </w:tc>
        <w:tc>
          <w:tcPr>
            <w:tcW w:w="2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8"/>
        </w:trPr>
        <w:tc>
          <w:tcPr>
            <w:tcW w:w="580" w:type="dxa"/>
            <w:vAlign w:val="bottom"/>
          </w:tcPr>
          <w:p>
            <w:pPr>
              <w:spacing w:after="0"/>
              <w:rPr>
                <w:sz w:val="24"/>
                <w:szCs w:val="24"/>
                <w:color w:val="auto"/>
              </w:rPr>
            </w:pPr>
          </w:p>
        </w:tc>
        <w:tc>
          <w:tcPr>
            <w:tcW w:w="9640" w:type="dxa"/>
            <w:vAlign w:val="bottom"/>
            <w:gridSpan w:val="1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58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62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58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7300" w:type="dxa"/>
            <w:vAlign w:val="bottom"/>
            <w:gridSpan w:val="7"/>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9"/>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7440" w:type="dxa"/>
            <w:vAlign w:val="bottom"/>
            <w:gridSpan w:val="8"/>
          </w:tcPr>
          <w:p>
            <w:pPr>
              <w:spacing w:after="0"/>
              <w:rPr>
                <w:sz w:val="24"/>
                <w:szCs w:val="24"/>
                <w:color w:val="auto"/>
              </w:rPr>
            </w:pPr>
          </w:p>
        </w:tc>
        <w:tc>
          <w:tcPr>
            <w:tcW w:w="1220" w:type="dxa"/>
            <w:vAlign w:val="bottom"/>
          </w:tcPr>
          <w:p>
            <w:pPr>
              <w:spacing w:after="0"/>
              <w:rPr>
                <w:sz w:val="24"/>
                <w:szCs w:val="24"/>
                <w:color w:val="auto"/>
              </w:rPr>
            </w:pPr>
          </w:p>
        </w:tc>
      </w:tr>
      <w:tr>
        <w:trPr>
          <w:trHeight w:val="318"/>
        </w:trPr>
        <w:tc>
          <w:tcPr>
            <w:tcW w:w="580" w:type="dxa"/>
            <w:vAlign w:val="bottom"/>
          </w:tcPr>
          <w:p>
            <w:pPr>
              <w:spacing w:after="0"/>
              <w:rPr>
                <w:sz w:val="24"/>
                <w:szCs w:val="24"/>
                <w:color w:val="auto"/>
              </w:rPr>
            </w:pPr>
          </w:p>
        </w:tc>
        <w:tc>
          <w:tcPr>
            <w:tcW w:w="19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1. Legal Proceedings</w:t>
              </w:r>
            </w:hyperlink>
          </w:p>
        </w:tc>
        <w:tc>
          <w:tcPr>
            <w:tcW w:w="7740" w:type="dxa"/>
            <w:vAlign w:val="bottom"/>
            <w:gridSpan w:val="10"/>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580" w:type="dxa"/>
            <w:vAlign w:val="bottom"/>
          </w:tcPr>
          <w:p>
            <w:pPr>
              <w:spacing w:after="0"/>
              <w:rPr>
                <w:sz w:val="24"/>
                <w:szCs w:val="24"/>
                <w:color w:val="auto"/>
              </w:rPr>
            </w:pPr>
          </w:p>
        </w:tc>
        <w:tc>
          <w:tcPr>
            <w:tcW w:w="1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1A. Risk Factors</w:t>
              </w:r>
            </w:hyperlink>
          </w:p>
        </w:tc>
        <w:tc>
          <w:tcPr>
            <w:tcW w:w="8040" w:type="dxa"/>
            <w:vAlign w:val="bottom"/>
            <w:gridSpan w:val="11"/>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580" w:type="dxa"/>
            <w:vAlign w:val="bottom"/>
          </w:tcPr>
          <w:p>
            <w:pPr>
              <w:spacing w:after="0"/>
              <w:rPr>
                <w:sz w:val="24"/>
                <w:szCs w:val="24"/>
                <w:color w:val="auto"/>
              </w:rPr>
            </w:pPr>
          </w:p>
        </w:tc>
        <w:tc>
          <w:tcPr>
            <w:tcW w:w="9640" w:type="dxa"/>
            <w:vAlign w:val="bottom"/>
            <w:gridSpan w:val="1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6. Exhibits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5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480" w:type="dxa"/>
            <w:vAlign w:val="bottom"/>
            <w:gridSpan w:val="1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8"/>
        </w:trPr>
        <w:tc>
          <w:tcPr>
            <w:tcW w:w="10220" w:type="dxa"/>
            <w:vAlign w:val="bottom"/>
            <w:gridSpan w:val="15"/>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Signatures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540"/>
        </w:trPr>
        <w:tc>
          <w:tcPr>
            <w:tcW w:w="5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KURA ONCOLOGY, INC.</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Condensed Balance Sheets</w:t>
      </w:r>
    </w:p>
    <w:p>
      <w:pPr>
        <w:spacing w:after="0" w:line="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thousands, except par value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0"/>
              </w:rPr>
              <w:t>June 30,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w w:val="89"/>
              </w:rPr>
              <w:t>2017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31"/>
              <w:spacing w:after="0" w:line="216" w:lineRule="exact"/>
              <w:rPr>
                <w:sz w:val="20"/>
                <w:szCs w:val="20"/>
                <w:color w:val="auto"/>
              </w:rPr>
            </w:pPr>
            <w:r>
              <w:rPr>
                <w:rFonts w:ascii="Arial" w:cs="Arial" w:eastAsia="Arial" w:hAnsi="Arial"/>
                <w:sz w:val="15"/>
                <w:szCs w:val="15"/>
                <w:b w:val="1"/>
                <w:bCs w:val="1"/>
                <w:color w:val="auto"/>
              </w:rPr>
              <w:t xml:space="preserve">2016 </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4"/>
              </w:rPr>
              <w:t>(Unaudited)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12,154</w:t>
            </w: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41,090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related party</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54,735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6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55,847</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69,821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4,179</w:t>
            </w:r>
          </w:p>
        </w:tc>
        <w:tc>
          <w:tcPr>
            <w:tcW w:w="260" w:type="dxa"/>
            <w:vAlign w:val="bottom"/>
          </w:tcPr>
          <w:p>
            <w:pPr>
              <w:spacing w:after="0"/>
              <w:rPr>
                <w:sz w:val="19"/>
                <w:szCs w:val="19"/>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 related party</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Current portion of long-term debt, net</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6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6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w w:val="98"/>
              </w:rPr>
              <w:t>Preferred stock, $0.0001 par value; 10,000 shares authorized; no shares issued</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460"/>
              <w:spacing w:after="0"/>
              <w:rPr>
                <w:sz w:val="20"/>
                <w:szCs w:val="20"/>
                <w:color w:val="auto"/>
              </w:rPr>
            </w:pPr>
            <w:r>
              <w:rPr>
                <w:rFonts w:ascii="Arial" w:cs="Arial" w:eastAsia="Arial" w:hAnsi="Arial"/>
                <w:sz w:val="18"/>
                <w:szCs w:val="18"/>
                <w:color w:val="auto"/>
              </w:rPr>
              <w:t>and outstanding</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200,000 shares authorized; 21,375 and</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21,368 shares issued as of June 30, 2017 and December 31, 2016,</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respectively; and 19,988 and 19,348 shares outstanding as of</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June 30, 2017 and December 31, 2016, respectively, excluding</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1,387 and 2,020 shares subject to repurchase as of June 30, 2017</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and December 31, 2016, respectively</w:t>
            </w: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112,866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110,748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(69,209)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(53,856)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6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43,637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6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balance sheet data at December 31, 2016 has been derived from audited financial statements at that date. It does not include, however, all of the information and notes required by U.S. generally accepted accounting principles for complete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KURA ONCOLOGY,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5,158</w:t>
            </w:r>
          </w:p>
        </w:tc>
        <w:tc>
          <w:tcPr>
            <w:tcW w:w="140" w:type="dxa"/>
            <w:vAlign w:val="bottom"/>
          </w:tcPr>
          <w:p>
            <w:pPr>
              <w:spacing w:after="0"/>
              <w:rPr>
                <w:sz w:val="19"/>
                <w:szCs w:val="19"/>
                <w:color w:val="auto"/>
              </w:rPr>
            </w:pPr>
          </w:p>
        </w:tc>
        <w:tc>
          <w:tcPr>
            <w:tcW w:w="106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3,959</w:t>
            </w:r>
          </w:p>
        </w:tc>
        <w:tc>
          <w:tcPr>
            <w:tcW w:w="26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10,378</w:t>
            </w:r>
          </w:p>
        </w:tc>
        <w:tc>
          <w:tcPr>
            <w:tcW w:w="26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related party</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1,838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related party</w:t>
            </w:r>
          </w:p>
        </w:tc>
        <w:tc>
          <w:tcPr>
            <w:tcW w:w="3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6,791</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Management fee income, related party</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(412)</w:t>
            </w:r>
          </w:p>
        </w:tc>
        <w:tc>
          <w:tcPr>
            <w:tcW w:w="3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w:t>
            </w:r>
          </w:p>
        </w:tc>
        <w:tc>
          <w:tcPr>
            <w:tcW w:w="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19"/>
                <w:szCs w:val="19"/>
                <w:color w:val="auto"/>
              </w:rPr>
            </w:pP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(7,820)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(6,661)</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(15,353)</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(0.40)</w:t>
            </w:r>
          </w:p>
        </w:tc>
        <w:tc>
          <w:tcPr>
            <w:tcW w:w="106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(0.78)</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used in</w:t>
            </w: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20"/>
              <w:spacing w:after="0"/>
              <w:rPr>
                <w:sz w:val="20"/>
                <w:szCs w:val="20"/>
                <w:color w:val="auto"/>
              </w:rPr>
            </w:pPr>
            <w:r>
              <w:rPr>
                <w:rFonts w:ascii="Arial" w:cs="Arial" w:eastAsia="Arial" w:hAnsi="Arial"/>
                <w:sz w:val="18"/>
                <w:szCs w:val="18"/>
                <w:color w:val="auto"/>
              </w:rPr>
              <w:t>computing net loss per share, basic and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FF0FC"/>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19,789</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18,548</w:t>
            </w:r>
          </w:p>
        </w:tc>
        <w:tc>
          <w:tcPr>
            <w:tcW w:w="26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19,627</w:t>
            </w:r>
          </w:p>
        </w:tc>
        <w:tc>
          <w:tcPr>
            <w:tcW w:w="26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18,397</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FF0FC"/>
          </w:tcPr>
          <w:p>
            <w:pPr>
              <w:jc w:val="right"/>
              <w:ind w:right="79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(7,820)</w:t>
            </w:r>
          </w:p>
        </w:tc>
        <w:tc>
          <w:tcPr>
            <w:tcW w:w="106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(6,661)</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(15,353)</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8"/>
              </w:rPr>
              <w:t>Unrealized (loss) gain on marketable securities</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(7,823)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(6,627)</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(15,357)</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KURA ONCOLOGY,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6"/>
                <w:szCs w:val="16"/>
                <w:b w:val="1"/>
                <w:bCs w:val="1"/>
                <w:color w:val="auto"/>
              </w:rPr>
              <w:t>Six Months Ended June 30,</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2017</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loss</w:t>
            </w:r>
          </w:p>
        </w:tc>
        <w:tc>
          <w:tcPr>
            <w:tcW w:w="2200" w:type="dxa"/>
            <w:vAlign w:val="bottom"/>
            <w:gridSpan w:val="2"/>
          </w:tcPr>
          <w:p>
            <w:pPr>
              <w:jc w:val="right"/>
              <w:ind w:right="1061"/>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(15,353)</w:t>
            </w:r>
          </w:p>
        </w:tc>
        <w:tc>
          <w:tcPr>
            <w:tcW w:w="134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 expense</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Depreciation expense</w:t>
            </w: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discount on marketable securities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related party</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assets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 related party</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liabilities</w:t>
            </w:r>
          </w:p>
        </w:tc>
        <w:tc>
          <w:tcPr>
            <w:tcW w:w="9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Maturities of marketable securities</w:t>
            </w: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marketable securities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(19,360)</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(23,445)</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9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issuance of common stock, net</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Proceeds from issuance of long-term debt, net</w:t>
            </w: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61"/>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Interest paid</w:t>
            </w:r>
          </w:p>
        </w:tc>
        <w:tc>
          <w:tcPr>
            <w:tcW w:w="2200" w:type="dxa"/>
            <w:vAlign w:val="bottom"/>
            <w:gridSpan w:val="2"/>
          </w:tcPr>
          <w:p>
            <w:pPr>
              <w:jc w:val="right"/>
              <w:ind w:right="106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20"/>
                <w:szCs w:val="20"/>
                <w:color w:val="auto"/>
              </w:rPr>
            </w:pPr>
          </w:p>
        </w:tc>
        <w:tc>
          <w:tcPr>
            <w:tcW w:w="134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KURA ONCOLOGY,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Kura Oncology, Inc. is a clinical-stage biopharmaceutical company committed to realizing the promise of precision medicines for the treatment of cancer. Our pipeline consists of small molecule product candidates that target cancer signaling pathways where there is a strong scientific and clinical rationale to improve outcomes by identifying those patients most likely to benefit from treatment.</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Kura Oncology, Inc. was a private Delaware corporation incorporated in the State of Delaware in August 2014. Effective March 6, 2015, Kura completed a reverse merger with a wholly owned subsidiary of Zeta Acquisition Corp. III, or Zeta, with Kura surviving the merger. Zeta was formally a “shell company” under applicable rules of the Securities and Exchange Commission, or SEC. On March 31, 2015, Kura merged with and into Zeta, with Kura surviving the merger, and Zeta changed its name to “Kura Oncology, Inc.”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financial statements and notes thereto in our Annual Report on Form 10-K for the fiscal year ended December 31, 2016, as filed with the SEC on March 14, 2017, from which we derived our balance sheet as of December 31, 2016. The accompanying condensed financial statements have been prepared in accordance with U.S. generally accepted accounting principles, or GAAP, for interim financial information and with the instructions to Form 10-Q and Article 10 of Regulation S-X. Accordingly, since they are interim statements, the accompanying condensed financial statements do not include all of the information and notes required by GAAP for complete financial statements. The accompanying condensed financial statements reflect all adjustments, consisting of normal recurring adjustments, that are, in the opinion of our management, necessary to a fair statement of the results for the interim periods presented. Interim results are not necessarily indicative of results for a full year.</w:t>
      </w:r>
    </w:p>
    <w:p>
      <w:pPr>
        <w:spacing w:after="0" w:line="19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preparation of the condensed financial statements in accordance with GAAP requires our management to make estimates and assumptions that affect the amounts reported on our condensed financial statements and accompanying notes. The amounts reported could differ under different estimates and assumptions. On an ongoing basis, we evaluate our estimates and judgments, which are based on historical and anticipated results and trends and on various other assumptions that management believes to be reasonable under the circumstances. By their nature, estimates are subject to an inherent degree of uncertainty and, as such, actual results may differ from management’s estimates.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Comprehensive loss is defined as the change in equity during the period from transactions and other events and non-owner sources. For the periods presented, accumulated other comprehensive loss consists solely of unrealized gains and losses on marketable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Net loss per common share is calculated by dividing the net loss by the weighted-average number of common shares outstanding for the period, without consideration for common stock equivalents. Diluted net loss per share is calculated by dividing the net loss by the weighted-average number of common share equivalents outstanding for the period determined using the treasury-stock method. Dilutive common stock equivalents are comprised of unvested restricted stock awards, outstanding stock options and outstanding warrants.</w:t>
      </w:r>
    </w:p>
    <w:p>
      <w:pPr>
        <w:spacing w:after="0" w:line="18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For all periods presented, there is no difference in the number of shares used to calculate basic and diluted shares outstanding due to the antidilutive effect of the securities. Because of our net loss, unvested restricted stock awards, outstanding stock options and outstanding warrants are excluded from the calculation of diluted net loss per common share for the three and six months ended June 30, 2017 and 2016, due to the anti-dilutive effect of the securities.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both"/>
        <w:ind w:firstLine="518"/>
        <w:spacing w:after="0" w:line="277" w:lineRule="auto"/>
        <w:rPr>
          <w:sz w:val="20"/>
          <w:szCs w:val="20"/>
          <w:color w:val="auto"/>
        </w:rPr>
      </w:pPr>
      <w:r>
        <w:rPr>
          <w:rFonts w:ascii="Arial" w:cs="Arial" w:eastAsia="Arial" w:hAnsi="Arial"/>
          <w:sz w:val="18"/>
          <w:szCs w:val="18"/>
          <w:color w:val="auto"/>
        </w:rPr>
        <w:t>The following table summarizes the number of potentially dilutive securities that were excluded from our calculation of diluted net loss per share for the three and six months ended June 30, 2017 and 2016:</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680" w:type="dxa"/>
            <w:vAlign w:val="bottom"/>
            <w:gridSpan w:val="4"/>
          </w:tcPr>
          <w:p>
            <w:pPr>
              <w:ind w:left="460"/>
              <w:spacing w:after="0"/>
              <w:rPr>
                <w:sz w:val="20"/>
                <w:szCs w:val="20"/>
                <w:color w:val="auto"/>
              </w:rPr>
            </w:pPr>
            <w:r>
              <w:rPr>
                <w:rFonts w:ascii="Arial" w:cs="Arial" w:eastAsia="Arial" w:hAnsi="Arial"/>
                <w:sz w:val="16"/>
                <w:szCs w:val="16"/>
                <w:b w:val="1"/>
                <w:bCs w:val="1"/>
                <w:color w:val="auto"/>
              </w:rPr>
              <w:t>Three and Six Months Ended June 30,</w:t>
            </w:r>
          </w:p>
        </w:tc>
      </w:tr>
      <w:tr>
        <w:trPr>
          <w:trHeight w:val="213"/>
        </w:trPr>
        <w:tc>
          <w:tcPr>
            <w:tcW w:w="20" w:type="dxa"/>
            <w:vAlign w:val="bottom"/>
          </w:tcPr>
          <w:p>
            <w:pPr>
              <w:spacing w:after="0"/>
              <w:rPr>
                <w:sz w:val="18"/>
                <w:szCs w:val="18"/>
                <w:color w:val="auto"/>
              </w:rPr>
            </w:pPr>
          </w:p>
        </w:tc>
        <w:tc>
          <w:tcPr>
            <w:tcW w:w="5440" w:type="dxa"/>
            <w:vAlign w:val="bottom"/>
            <w:tcBorders>
              <w:bottom w:val="single" w:sz="8" w:color="CFF0FC"/>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bottom w:val="single" w:sz="8" w:color="CFF0FC"/>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CFF0FC"/>
            </w:tcBorders>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awards</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1,386,723</w:t>
            </w: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2,624,641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Stock options</w:t>
            </w:r>
          </w:p>
        </w:tc>
        <w:tc>
          <w:tcPr>
            <w:tcW w:w="1680" w:type="dxa"/>
            <w:vAlign w:val="bottom"/>
          </w:tcPr>
          <w:p>
            <w:pPr>
              <w:jc w:val="right"/>
              <w:spacing w:after="0"/>
              <w:rPr>
                <w:sz w:val="20"/>
                <w:szCs w:val="20"/>
                <w:color w:val="auto"/>
              </w:rPr>
            </w:pPr>
            <w:r>
              <w:rPr>
                <w:rFonts w:ascii="Arial" w:cs="Arial" w:eastAsia="Arial" w:hAnsi="Arial"/>
                <w:sz w:val="18"/>
                <w:szCs w:val="18"/>
                <w:color w:val="auto"/>
              </w:rPr>
              <w:t>2,214,547</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1,178,449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33,988</w:t>
            </w:r>
          </w:p>
        </w:tc>
        <w:tc>
          <w:tcPr>
            <w:tcW w:w="220" w:type="dxa"/>
            <w:vAlign w:val="bottom"/>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67,976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3,635,258</w:t>
            </w:r>
          </w:p>
        </w:tc>
        <w:tc>
          <w:tcPr>
            <w:tcW w:w="2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3,871,066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May 2017, the Financial Accounting Standards Board, or FASB, issued Accounting Standards Update, or ASU, 2017-09, Compensation – Stock Compensation (Topic 718) – Scope of Modification Accounting that clarifies when to account for a change to the terms or conditions of a share-based payment award as a modification. Under this guidance, modification accounting is required only if the value, vesting conditions or classification of the award (as equity or liability) changes as a result of the change in terms or conditions. This guidance is effective for fiscal periods, and interim periods within those fiscal periods, beginning after December 15, 2017. Early adoption is permitted, including adoption in any interim period. The adoption of this guidance is not expected to have an impact on our condensed financial statements.</w:t>
      </w:r>
    </w:p>
    <w:p>
      <w:pPr>
        <w:spacing w:after="0" w:line="17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(Topic 606), that supersedes most current revenue recognition guidance, including industry-specific guidance. The guidance provides that an entity recognize revenue when it transfers promised goods or services to customers in an amount that reflects the consideration to which the entity expects to be entitled in exchange for those goods or services. This guidance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standard is effective on January 1, 2018 for us. Early adoption is permitted. We plan to implement this standard on January 1, 2018. We currently plan to adopt using the modified retrospective transition approach; however, a final decision regarding the adoption method has not been made. The modified retrospective transition approach will recognize any changes from the beginning of the year of initial application through retained earnings with no restatement of comparative periods. We currently do not have any revenue contracts with customers and will review any new contracts entered into prior to the adoption of the new standard. The adoption of this guidance is not expected to have an impact on our condensed financial statements.</w:t>
      </w:r>
    </w:p>
    <w:p>
      <w:pPr>
        <w:spacing w:after="0" w:line="17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 xml:space="preserve">In February 2016, the FASB issued ASU 2016-02, Leases (Topic 842), </w:t>
      </w:r>
      <w:r>
        <w:rPr>
          <w:rFonts w:ascii="Arial" w:cs="Arial" w:eastAsia="Arial" w:hAnsi="Arial"/>
          <w:sz w:val="17"/>
          <w:szCs w:val="17"/>
          <w:color w:val="252525"/>
        </w:rPr>
        <w:t>which requires lessees to recognize a right-to-use asset and a lease obligation</w:t>
      </w:r>
      <w:r>
        <w:rPr>
          <w:rFonts w:ascii="Arial" w:cs="Arial" w:eastAsia="Arial" w:hAnsi="Arial"/>
          <w:sz w:val="17"/>
          <w:szCs w:val="17"/>
          <w:color w:val="auto"/>
        </w:rPr>
        <w:t xml:space="preserve"> </w:t>
      </w:r>
      <w:r>
        <w:rPr>
          <w:rFonts w:ascii="Arial" w:cs="Arial" w:eastAsia="Arial" w:hAnsi="Arial"/>
          <w:sz w:val="17"/>
          <w:szCs w:val="17"/>
          <w:color w:val="252525"/>
        </w:rPr>
        <w:t xml:space="preserve">for all leases. Lessees are permitted to make an accounting policy election to not recognize an asset and liability for leases with a term of 12 months or less. Lessor accounting under the new standard is substantially unchanged. Additional qualitative and quantitative disclosures, including significant judgments made by management, will be required. </w:t>
      </w:r>
      <w:r>
        <w:rPr>
          <w:rFonts w:ascii="Arial" w:cs="Arial" w:eastAsia="Arial" w:hAnsi="Arial"/>
          <w:sz w:val="17"/>
          <w:szCs w:val="17"/>
          <w:color w:val="000000"/>
        </w:rPr>
        <w:t>This pronouncement is effective for fiscal years beginning after December 15, 2018 and interim periods within those</w:t>
      </w:r>
      <w:r>
        <w:rPr>
          <w:rFonts w:ascii="Arial" w:cs="Arial" w:eastAsia="Arial" w:hAnsi="Arial"/>
          <w:sz w:val="17"/>
          <w:szCs w:val="17"/>
          <w:color w:val="252525"/>
        </w:rPr>
        <w:t xml:space="preserve"> </w:t>
      </w:r>
      <w:r>
        <w:rPr>
          <w:rFonts w:ascii="Arial" w:cs="Arial" w:eastAsia="Arial" w:hAnsi="Arial"/>
          <w:sz w:val="17"/>
          <w:szCs w:val="17"/>
          <w:color w:val="000000"/>
        </w:rPr>
        <w:t>annual periods. Early adoption is permitted. The guidance is required to be adopted at the earliest period presented using a modified retrospective approach. We plan to adopt the accounting standard on January 1, 2019 and will evaluate any existing leases at that time and recognize a right-to-use asset and lease obligation for all leases with terms greater than 12 months on our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invest in available-for-sale securities consisting of money market funds, U.S. Treasury securities, corporate debt securities, commercial paper and government sponsored enterprise securities. Available-for-sale securities are classified as part of either cash and cash equivalents or short-term investments on our condensed balance sheets.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by major security type, our investments that are measured at fair value on a recurring basis as of June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respectively,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6"/>
                <w:szCs w:val="16"/>
                <w:b w:val="1"/>
                <w:bCs w:val="1"/>
                <w:color w:val="auto"/>
              </w:rPr>
              <w:t>As of June 30, 2017</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6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4"/>
              </w:rPr>
              <w:t>Amortized</w:t>
            </w:r>
          </w:p>
        </w:tc>
        <w:tc>
          <w:tcPr>
            <w:tcW w:w="140" w:type="dxa"/>
            <w:vAlign w:val="bottom"/>
          </w:tcPr>
          <w:p>
            <w:pPr>
              <w:spacing w:after="0"/>
              <w:rPr>
                <w:sz w:val="17"/>
                <w:szCs w:val="17"/>
                <w:color w:val="auto"/>
              </w:rPr>
            </w:pPr>
          </w:p>
        </w:tc>
        <w:tc>
          <w:tcPr>
            <w:tcW w:w="104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46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140" w:type="dxa"/>
            <w:vAlign w:val="bottom"/>
          </w:tcPr>
          <w:p>
            <w:pPr>
              <w:spacing w:after="0"/>
              <w:rPr>
                <w:sz w:val="18"/>
                <w:szCs w:val="18"/>
                <w:color w:val="auto"/>
              </w:rPr>
            </w:pPr>
          </w:p>
        </w:tc>
        <w:tc>
          <w:tcPr>
            <w:tcW w:w="104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Gains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r>
      <w:tr>
        <w:trPr>
          <w:trHeight w:val="240"/>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46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 or less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6,330</w:t>
            </w:r>
          </w:p>
        </w:tc>
        <w:tc>
          <w:tcPr>
            <w:tcW w:w="120" w:type="dxa"/>
            <w:vAlign w:val="bottom"/>
          </w:tcPr>
          <w:p>
            <w:pPr>
              <w:spacing w:after="0"/>
              <w:rPr>
                <w:sz w:val="21"/>
                <w:szCs w:val="21"/>
                <w:color w:val="auto"/>
              </w:rPr>
            </w:pPr>
          </w:p>
        </w:tc>
      </w:tr>
      <w:tr>
        <w:trPr>
          <w:trHeight w:val="243"/>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agency securities</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 or less</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w:t>
            </w:r>
          </w:p>
        </w:tc>
        <w:tc>
          <w:tcPr>
            <w:tcW w:w="120" w:type="dxa"/>
            <w:vAlign w:val="bottom"/>
            <w:shd w:val="clear" w:color="auto" w:fill="CFF0FC"/>
          </w:tcPr>
          <w:p>
            <w:pPr>
              <w:spacing w:after="0"/>
              <w:rPr>
                <w:sz w:val="21"/>
                <w:szCs w:val="21"/>
                <w:color w:val="auto"/>
              </w:rPr>
            </w:pPr>
          </w:p>
        </w:tc>
      </w:tr>
      <w:tr>
        <w:trPr>
          <w:trHeight w:val="243"/>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0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8"/>
              </w:rPr>
              <w:t>1 or less</w:t>
            </w: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FF0FC"/>
            </w:tcBorders>
          </w:tcPr>
          <w:p>
            <w:pPr>
              <w:spacing w:after="0"/>
              <w:rPr>
                <w:sz w:val="21"/>
                <w:szCs w:val="21"/>
                <w:color w:val="auto"/>
              </w:rPr>
            </w:pPr>
          </w:p>
        </w:tc>
      </w:tr>
      <w:tr>
        <w:trPr>
          <w:trHeight w:val="237"/>
        </w:trPr>
        <w:tc>
          <w:tcPr>
            <w:tcW w:w="4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11,023</w:t>
            </w:r>
          </w:p>
        </w:tc>
        <w:tc>
          <w:tcPr>
            <w:tcW w:w="120" w:type="dxa"/>
            <w:vAlign w:val="bottom"/>
            <w:shd w:val="clear" w:color="auto" w:fill="CFF0FC"/>
          </w:tcPr>
          <w:p>
            <w:pPr>
              <w:spacing w:after="0"/>
              <w:rPr>
                <w:sz w:val="20"/>
                <w:szCs w:val="20"/>
                <w:color w:val="auto"/>
              </w:rPr>
            </w:pPr>
          </w:p>
        </w:tc>
      </w:tr>
      <w:tr>
        <w:trPr>
          <w:trHeight w:val="243"/>
        </w:trPr>
        <w:tc>
          <w:tcPr>
            <w:tcW w:w="4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6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 or less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16,982</w:t>
            </w:r>
          </w:p>
        </w:tc>
        <w:tc>
          <w:tcPr>
            <w:tcW w:w="120" w:type="dxa"/>
            <w:vAlign w:val="bottom"/>
          </w:tcPr>
          <w:p>
            <w:pPr>
              <w:spacing w:after="0"/>
              <w:rPr>
                <w:sz w:val="21"/>
                <w:szCs w:val="21"/>
                <w:color w:val="auto"/>
              </w:rPr>
            </w:pPr>
          </w:p>
        </w:tc>
      </w:tr>
      <w:tr>
        <w:trPr>
          <w:trHeight w:val="243"/>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 or less</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15,664</w:t>
            </w:r>
          </w:p>
        </w:tc>
        <w:tc>
          <w:tcPr>
            <w:tcW w:w="120" w:type="dxa"/>
            <w:vAlign w:val="bottom"/>
            <w:shd w:val="clear" w:color="auto" w:fill="CFF0FC"/>
          </w:tcPr>
          <w:p>
            <w:pPr>
              <w:spacing w:after="0"/>
              <w:rPr>
                <w:sz w:val="21"/>
                <w:szCs w:val="21"/>
                <w:color w:val="auto"/>
              </w:rPr>
            </w:pPr>
          </w:p>
        </w:tc>
      </w:tr>
      <w:tr>
        <w:trPr>
          <w:trHeight w:val="243"/>
        </w:trPr>
        <w:tc>
          <w:tcPr>
            <w:tcW w:w="46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 or less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6,449</w:t>
            </w:r>
          </w:p>
        </w:tc>
        <w:tc>
          <w:tcPr>
            <w:tcW w:w="120" w:type="dxa"/>
            <w:vAlign w:val="bottom"/>
          </w:tcPr>
          <w:p>
            <w:pPr>
              <w:spacing w:after="0"/>
              <w:rPr>
                <w:sz w:val="21"/>
                <w:szCs w:val="21"/>
                <w:color w:val="auto"/>
              </w:rPr>
            </w:pPr>
          </w:p>
        </w:tc>
      </w:tr>
      <w:tr>
        <w:trPr>
          <w:trHeight w:val="243"/>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agency securities</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 or less</w:t>
            </w:r>
          </w:p>
        </w:tc>
        <w:tc>
          <w:tcPr>
            <w:tcW w:w="1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FF0FC"/>
          </w:tcPr>
          <w:p>
            <w:pPr>
              <w:spacing w:after="0"/>
              <w:rPr>
                <w:sz w:val="21"/>
                <w:szCs w:val="21"/>
                <w:color w:val="auto"/>
              </w:rPr>
            </w:pPr>
          </w:p>
        </w:tc>
      </w:tr>
      <w:tr>
        <w:trPr>
          <w:trHeight w:val="237"/>
        </w:trPr>
        <w:tc>
          <w:tcPr>
            <w:tcW w:w="4640" w:type="dxa"/>
            <w:vAlign w:val="bottom"/>
          </w:tcPr>
          <w:p>
            <w:pPr>
              <w:ind w:left="500"/>
              <w:spacing w:after="0"/>
              <w:rPr>
                <w:sz w:val="20"/>
                <w:szCs w:val="20"/>
                <w:color w:val="auto"/>
              </w:rPr>
            </w:pPr>
            <w:r>
              <w:rPr>
                <w:rFonts w:ascii="Arial" w:cs="Arial" w:eastAsia="Arial" w:hAnsi="Arial"/>
                <w:sz w:val="18"/>
                <w:szCs w:val="18"/>
                <w:color w:val="auto"/>
              </w:rPr>
              <w:t>Total short-term investments</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41,112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41,090</w:t>
            </w:r>
          </w:p>
        </w:tc>
        <w:tc>
          <w:tcPr>
            <w:tcW w:w="120" w:type="dxa"/>
            <w:vAlign w:val="bottom"/>
          </w:tcPr>
          <w:p>
            <w:pPr>
              <w:spacing w:after="0"/>
              <w:rPr>
                <w:sz w:val="20"/>
                <w:szCs w:val="20"/>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7"/>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52,135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52,113</w:t>
            </w:r>
          </w:p>
        </w:tc>
        <w:tc>
          <w:tcPr>
            <w:tcW w:w="120" w:type="dxa"/>
            <w:vAlign w:val="bottom"/>
            <w:shd w:val="clear" w:color="auto" w:fill="CFF0FC"/>
          </w:tcPr>
          <w:p>
            <w:pPr>
              <w:spacing w:after="0"/>
              <w:rPr>
                <w:sz w:val="20"/>
                <w:szCs w:val="20"/>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420"/>
        </w:trPr>
        <w:tc>
          <w:tcPr>
            <w:tcW w:w="4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6"/>
                <w:szCs w:val="16"/>
                <w:b w:val="1"/>
                <w:bCs w:val="1"/>
                <w:color w:val="auto"/>
              </w:rPr>
              <w:t>As of December 31, 2016</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46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4"/>
              </w:rPr>
              <w:t>Amortized</w:t>
            </w:r>
          </w:p>
        </w:tc>
        <w:tc>
          <w:tcPr>
            <w:tcW w:w="140" w:type="dxa"/>
            <w:vAlign w:val="bottom"/>
          </w:tcPr>
          <w:p>
            <w:pPr>
              <w:spacing w:after="0"/>
              <w:rPr>
                <w:sz w:val="17"/>
                <w:szCs w:val="17"/>
                <w:color w:val="auto"/>
              </w:rPr>
            </w:pPr>
          </w:p>
        </w:tc>
        <w:tc>
          <w:tcPr>
            <w:tcW w:w="104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46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140" w:type="dxa"/>
            <w:vAlign w:val="bottom"/>
          </w:tcPr>
          <w:p>
            <w:pPr>
              <w:spacing w:after="0"/>
              <w:rPr>
                <w:sz w:val="18"/>
                <w:szCs w:val="18"/>
                <w:color w:val="auto"/>
              </w:rPr>
            </w:pPr>
          </w:p>
        </w:tc>
        <w:tc>
          <w:tcPr>
            <w:tcW w:w="104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Gains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r>
      <w:tr>
        <w:trPr>
          <w:trHeight w:val="240"/>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 or less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5,762</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 or less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r>
      <w:tr>
        <w:trPr>
          <w:trHeight w:val="223"/>
        </w:trPr>
        <w:tc>
          <w:tcPr>
            <w:tcW w:w="4640" w:type="dxa"/>
            <w:vAlign w:val="bottom"/>
          </w:tcPr>
          <w:p>
            <w:pPr>
              <w:ind w:left="500"/>
              <w:spacing w:after="0"/>
              <w:rPr>
                <w:sz w:val="20"/>
                <w:szCs w:val="20"/>
                <w:color w:val="auto"/>
              </w:rPr>
            </w:pPr>
            <w:r>
              <w:rPr>
                <w:rFonts w:ascii="Arial" w:cs="Arial" w:eastAsia="Arial" w:hAnsi="Arial"/>
                <w:sz w:val="18"/>
                <w:szCs w:val="18"/>
                <w:color w:val="auto"/>
              </w:rPr>
              <w:t>Total cash equivalents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7,762</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 or less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28,002</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 or less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14,273</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 or less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13,589</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Government sponsored enterprise securities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 or less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r>
      <w:tr>
        <w:trPr>
          <w:trHeight w:val="223"/>
        </w:trPr>
        <w:tc>
          <w:tcPr>
            <w:tcW w:w="4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short-term investments</w:t>
            </w:r>
          </w:p>
        </w:tc>
        <w:tc>
          <w:tcPr>
            <w:tcW w:w="1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58,083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58,065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65,827</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available-for-sale investments are classified as current assets, even though the stated maturity date may be one year or more beyond the current balance sheet date, which reflects management’s intention to use the proceeds from sales of these securities to fund our operations, as necessary. As of June 30, 2017, all of our short-term investments had maturities less than one year. There were no realized gains or losses for the six months ended June 30, 2017. As of June 30, 2017, $23.4 million of our marketable securities were in gross unrealized loss positions, all of which had been in such position for less than 12 months. We reviewed our marketable securities as of June 30, 2017 and determined that the unrealized losses were not considered to be other-than-temporary based upon (i) the financial strength of the issuing institution and (ii) the fact that all securities have been in an unrealized loss position for less than 12 months. In addition, we do not intend to sell these securities and it is not more likely than not that we will be required to sell these securities before the recovery of their amortized cost basis. As of June 30, 2017, we had not recognized any such impairment in our condensed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a basis for considering assumptions that market participants would use in pricing an asset or liability, the guidance establishes a three-tier fair value hierarchy, which prioritizes the inputs used in measuring fair value as follows:</w:t>
      </w:r>
    </w:p>
    <w:p>
      <w:pPr>
        <w:spacing w:after="0" w:line="62"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either directly or indirectly observable;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assumptions that market participants would use in pricing.</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Available-for-sale marketable securities consist of U.S. Treasury securities, which were measured at fair value using Level 1 inputs, and corporate debt securities, commercial paper and government sponsored enterprise securities, which were measured at fair value using Level 2 inputs. We determine the fair value of Level 2 related securities with the aid of valuations provided by third parties using proprietary valuation models and analytical tools. These valuation models and analytical tools use market pricing or prices for similar instruments that are both objective and publicly available, including matrix pricing or reported trades, benchmark yields, broker/dealer quotes, issuer spreads, two-sided markets, benchmark securities, bids and/or offers. We validate the fair values of Level 2 financial instruments by comparing these fair values to a third-party pricing source. No transfers between levels have occurred during the periods presented.</w:t>
      </w:r>
    </w:p>
    <w:p>
      <w:pPr>
        <w:spacing w:after="0" w:line="18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tables summarize, by major security type, our cash equivalents and short-term investments that are measured at fair value on a recurring basis and are categorized using the fair value hierarchy,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0"/>
              </w:rPr>
              <w:t>As of June 30, 2017</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72"/>
              <w:spacing w:after="0"/>
              <w:rPr>
                <w:sz w:val="20"/>
                <w:szCs w:val="20"/>
                <w:color w:val="auto"/>
              </w:rPr>
            </w:pPr>
            <w:r>
              <w:rPr>
                <w:rFonts w:ascii="Arial" w:cs="Arial" w:eastAsia="Arial" w:hAnsi="Arial"/>
                <w:sz w:val="16"/>
                <w:szCs w:val="16"/>
                <w:b w:val="1"/>
                <w:bCs w:val="1"/>
                <w:color w:val="auto"/>
                <w:w w:val="92"/>
              </w:rPr>
              <w:t>Total Estimated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72"/>
              <w:spacing w:after="0"/>
              <w:rPr>
                <w:sz w:val="20"/>
                <w:szCs w:val="20"/>
                <w:color w:val="auto"/>
              </w:rPr>
            </w:pPr>
            <w:r>
              <w:rPr>
                <w:rFonts w:ascii="Arial" w:cs="Arial" w:eastAsia="Arial" w:hAnsi="Arial"/>
                <w:sz w:val="16"/>
                <w:szCs w:val="16"/>
                <w:b w:val="1"/>
                <w:bCs w:val="1"/>
                <w:color w:val="auto"/>
                <w:w w:val="96"/>
              </w:rPr>
              <w:t>Fair Value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1</w:t>
            </w:r>
          </w:p>
        </w:tc>
        <w:tc>
          <w:tcPr>
            <w:tcW w:w="30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6,330</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agency securities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11,023</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6,330</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16,982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16,982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6,449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agency securities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41,090</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16,982</w:t>
            </w:r>
          </w:p>
        </w:tc>
        <w:tc>
          <w:tcPr>
            <w:tcW w:w="3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52,113</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23,312</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As of December 31, 2016</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72"/>
              <w:spacing w:after="0"/>
              <w:rPr>
                <w:sz w:val="20"/>
                <w:szCs w:val="20"/>
                <w:color w:val="auto"/>
              </w:rPr>
            </w:pPr>
            <w:r>
              <w:rPr>
                <w:rFonts w:ascii="Arial" w:cs="Arial" w:eastAsia="Arial" w:hAnsi="Arial"/>
                <w:sz w:val="16"/>
                <w:szCs w:val="16"/>
                <w:b w:val="1"/>
                <w:bCs w:val="1"/>
                <w:color w:val="auto"/>
                <w:w w:val="92"/>
              </w:rPr>
              <w:t>Total Estimated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72"/>
              <w:spacing w:after="0"/>
              <w:rPr>
                <w:sz w:val="20"/>
                <w:szCs w:val="20"/>
                <w:color w:val="auto"/>
              </w:rPr>
            </w:pPr>
            <w:r>
              <w:rPr>
                <w:rFonts w:ascii="Arial" w:cs="Arial" w:eastAsia="Arial" w:hAnsi="Arial"/>
                <w:sz w:val="16"/>
                <w:szCs w:val="16"/>
                <w:b w:val="1"/>
                <w:bCs w:val="1"/>
                <w:color w:val="auto"/>
                <w:w w:val="96"/>
              </w:rPr>
              <w:t>Fair Value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1</w:t>
            </w:r>
          </w:p>
        </w:tc>
        <w:tc>
          <w:tcPr>
            <w:tcW w:w="30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5,762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5,762</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8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7,762</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5,762</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14,273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Government sponsored enterprise securities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58,065</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28,002</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65,827</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33,764</w:t>
            </w:r>
          </w:p>
        </w:tc>
        <w:tc>
          <w:tcPr>
            <w:tcW w:w="3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believe that our term loan facility bears interest at a rate that approximates prevailing market rates for instruments with similar characteristics and, accordingly, the carrying value of the term loan facility approximates fair value. The fair value of our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loan facility is determined using Level 2 inputs in the fair value hierarchy. See Note 6, Long-Term Debt, for further discussion of our term loan facility.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Payable and Accrued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and accrued liabilities consisted of the following, in thousands: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2016</w:t>
            </w:r>
          </w:p>
        </w:tc>
      </w:tr>
      <w:tr>
        <w:trPr>
          <w:trHeight w:val="226"/>
        </w:trPr>
        <w:tc>
          <w:tcPr>
            <w:tcW w:w="20" w:type="dxa"/>
            <w:vAlign w:val="bottom"/>
          </w:tcPr>
          <w:p>
            <w:pPr>
              <w:spacing w:after="0"/>
              <w:rPr>
                <w:sz w:val="19"/>
                <w:szCs w:val="19"/>
                <w:color w:val="auto"/>
              </w:rPr>
            </w:pPr>
          </w:p>
        </w:tc>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1,907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Total accounts payable and accrued expenses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12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On April 27, 2016, we entered into a loan and security agreement, or the Loan Agreement, with Oxford Finance LLC and Silicon Valley Bank, or the Lenders, pursuant to which the Lenders provided a loan facility of up to $20.0 million. Upon entering into the Loan Agreement, we borrowed $7.5 million from the Lenders, or Term A Loan. We may, at our sole discretion, borrow up to an additional $12.5 million at a certain specified time, or Term B Loan, and together with the Term A Loan, the Term Loans. In May 2017, the Loan Agreement was amended to extend the draw period on the Term B Loan and modify the terms of the unused fee, or Loan Amendment. The Term B Loan originally could be drawn between December 31, 2016 and May 1, 2017, subject to our successful advancement of KO-947, a small molecule inhibitor of extracellular signal regulated kinase, into Phase 1 clinical trials. Under the Loan Amendment, the Term B Loan may be drawn between August 1, 2017 and October 31, 2017. In addition, each Term B Loan must be in an amount equal to the lesser of $5.0 million or the amount that is remaining under the Term B Loan.</w:t>
      </w:r>
    </w:p>
    <w:p>
      <w:pPr>
        <w:spacing w:after="0" w:line="179"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All of the Term Loans will mature on November 1, 2020, or Maturity Date. Repayment of the Term Loans is interest only through May 1, 2018, followed by 30 equal monthly payments of principal plus accrued interest commencing on June 1, 2018. The per annum interest rate for any outstanding Term Loans is the greater of (i) 7.75% and (ii) the sum of (a) the prime rate reported in The Wall Street Journal on the last business day of the month that immediately precedes the month in which the interest will accrue, plus (b) 4.25%. The interest rate as of June 30, 2017 was 8.25%. In addition, a final payment of 7.50% of the amounts of the Term Loans drawn will be due on the earlier of the Maturity Date, acceleration of any Term Loan, or prepayment of the Term Loans. In connection with the Term A Loan, a final payment of approximately $563,000 will be due and is being accrued through interest expense using the effective interest method. If we elect to prepay the Term Loans, a prepayment fee equal to 1%, 2% or 3% of the principal balance will also be due, depending upon when the prepayment occurs. We will also be required to pay an unused fee on the earlier of November 1, 2017, extended from May 2, 2017 under the Loan Amendment, or prior repayment of the Term Loans in an amount equal to (a) 2.75%, amended from 2.00%, multiplied by (b) $20.0 million minus the aggregate amount of the Term Loans drawn on or before October 31, 2017, extended from May 1, 2017.</w:t>
      </w:r>
    </w:p>
    <w:p>
      <w:pPr>
        <w:spacing w:after="0" w:line="16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subject to customary affirmative and restrictive covenants under the term loan facility. Our obligations under the Loan Agreement are secured by a first priority security interest in substantially all of our current and future assets, other than our intellectual property. We have also agreed not to encumber our intellectual property assets, except as permitted by the Loan Agreement.</w:t>
      </w:r>
    </w:p>
    <w:p>
      <w:pPr>
        <w:spacing w:after="0" w:line="18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Loan Agreement also contains customary indemnification obligations and customary events of default, including, among other things, our failure to fulfill certain obligations under the Loan Agreement and the occurrence of a material adverse change in our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us under the Loan Agreement, the Lenders would be entitled to exercise their remedies thereunder, including the right to accelerate the debt, upon which we may be required to repay all amounts then outstanding under the Loan Agreement. The conditional exercisable call option related to the event of default is considered to be an embedded derivative which is required to be bifurcated and accounted for as a separate financial instrument. In the periods presented, the value of the embedded derivative is not material, but could become material in future periods if an event of default became more probable than is currently estimated. As of June 30, 2017, we were in compliance with all material covenants under the Loan Agreement and there had been no material adverse change.</w:t>
      </w:r>
    </w:p>
    <w:p>
      <w:pPr>
        <w:spacing w:after="0" w:line="18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connection with the Term A Loan, we issued to the Lenders warrants to purchase up to 67,976 shares of our common stock at an exercise price of $3.31 per share, or the Warrants. The Warrants are exercisable, in whole or in part, and will terminate on the earlier of April 27, 2026 or the closing of certain merger or consolidation transactions. The Warrants were valued using the Black-Scholes option pricing model with the following assumptions: volatility of 70.92%, expected term of ten years, risk-free interest rate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of 2.11% and a zero dividend yield. The fair value of the Warrants was approximately $172,000 upon issuance, which was recorded as a debt discount and is being amortized to interest expense using the effective interest method through the scheduled maturity date.</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February 2017, Silicon Valley Bank exercised its warrant to purchase 33,988 shares of common stock in a cashless exercise resulting in the issuance of 17,070 shares of our common stock. The warrant issued to Oxford Finance LLC to purchase up to 33,988 shares of our common stock remains outstanding as of June 30, 2017.</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we borrow under the Term B Loan, upon the funding of the Term B Loan, we will issue to the Lenders additional warrants to purchase shares of our common stock equal to 3.00% of each Term B Loan amount divided by the lower of (i) the ten day average closing price of our common stock reported on the Nasdaq Global Select Market prior to funding or (ii) the closing price of our common stock reported on the Nasdaq Global Select Market on the day prior to funding. Such lower amount of (i) and (ii) above will also be the exercise price per share for such warrants. The terms of such warrants would be substantially the same as those contained in the Warrants.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future minimum payments under the term loan facility as of June 30, 2017, in thousands: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6080" w:type="dxa"/>
            <w:vAlign w:val="bottom"/>
          </w:tcPr>
          <w:p>
            <w:pPr>
              <w:spacing w:after="0"/>
              <w:rPr>
                <w:sz w:val="20"/>
                <w:szCs w:val="20"/>
                <w:color w:val="auto"/>
              </w:rPr>
            </w:pPr>
            <w:r>
              <w:rPr>
                <w:rFonts w:ascii="Arial" w:cs="Arial" w:eastAsia="Arial" w:hAnsi="Arial"/>
                <w:sz w:val="16"/>
                <w:szCs w:val="16"/>
                <w:b w:val="1"/>
                <w:bCs w:val="1"/>
                <w:color w:val="auto"/>
              </w:rPr>
              <w:t>Year Ending December 31,</w:t>
            </w: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2017</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FF0FC"/>
          </w:tcPr>
          <w:p>
            <w:pPr>
              <w:spacing w:after="0"/>
              <w:rPr>
                <w:sz w:val="20"/>
                <w:szCs w:val="20"/>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2019</w:t>
            </w: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w:t>
            </w:r>
          </w:p>
        </w:tc>
        <w:tc>
          <w:tcPr>
            <w:tcW w:w="80" w:type="dxa"/>
            <w:vAlign w:val="bottom"/>
            <w:shd w:val="clear" w:color="auto" w:fill="CFF0FC"/>
          </w:tcPr>
          <w:p>
            <w:pPr>
              <w:spacing w:after="0"/>
              <w:rPr>
                <w:sz w:val="19"/>
                <w:szCs w:val="19"/>
                <w:color w:val="auto"/>
              </w:rPr>
            </w:pPr>
          </w:p>
        </w:tc>
      </w:tr>
      <w:tr>
        <w:trPr>
          <w:trHeight w:val="230"/>
        </w:trPr>
        <w:tc>
          <w:tcPr>
            <w:tcW w:w="6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80" w:type="dxa"/>
            <w:vAlign w:val="bottom"/>
            <w:tcBorders>
              <w:bottom w:val="single" w:sz="8" w:color="CFF0FC"/>
            </w:tcBorders>
          </w:tcPr>
          <w:p>
            <w:pPr>
              <w:spacing w:after="0"/>
              <w:rPr>
                <w:sz w:val="19"/>
                <w:szCs w:val="19"/>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payments</w:t>
            </w: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9,449</w:t>
            </w:r>
          </w:p>
        </w:tc>
        <w:tc>
          <w:tcPr>
            <w:tcW w:w="8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Less: interest payments</w:t>
            </w:r>
          </w:p>
        </w:tc>
        <w:tc>
          <w:tcPr>
            <w:tcW w:w="7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(1,949)</w:t>
            </w: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long-term debt</w:t>
            </w:r>
          </w:p>
        </w:tc>
        <w:tc>
          <w:tcPr>
            <w:tcW w:w="7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Less: Unamortized discount</w:t>
            </w:r>
          </w:p>
        </w:tc>
        <w:tc>
          <w:tcPr>
            <w:tcW w:w="7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net of unamortized discount</w:t>
            </w:r>
          </w:p>
        </w:tc>
        <w:tc>
          <w:tcPr>
            <w:tcW w:w="7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7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23"/>
        </w:trPr>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Incentive Plan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share-based compensation expense for all equity awards granted,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2620" w:type="dxa"/>
            <w:vAlign w:val="bottom"/>
            <w:gridSpan w:val="4"/>
          </w:tcPr>
          <w:p>
            <w:pPr>
              <w:jc w:val="right"/>
              <w:ind w:right="3"/>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900" w:type="dxa"/>
            <w:vAlign w:val="bottom"/>
            <w:tcBorders>
              <w:bottom w:val="single" w:sz="8" w:color="CFF0FC"/>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2016</w:t>
            </w:r>
          </w:p>
        </w:tc>
        <w:tc>
          <w:tcPr>
            <w:tcW w:w="380" w:type="dxa"/>
            <w:vAlign w:val="bottom"/>
            <w:tcBorders>
              <w:top w:val="single" w:sz="8" w:color="auto"/>
              <w:bottom w:val="single" w:sz="8" w:color="auto"/>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top w:val="single" w:sz="8" w:color="auto"/>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FF0FC"/>
            </w:tcBorders>
          </w:tcPr>
          <w:p>
            <w:pPr>
              <w:spacing w:after="0"/>
              <w:rPr>
                <w:sz w:val="20"/>
                <w:szCs w:val="20"/>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jc w:val="right"/>
              <w:ind w:right="74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4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FF0FC"/>
          </w:tcPr>
          <w:p>
            <w:pPr>
              <w:spacing w:after="0"/>
              <w:rPr>
                <w:sz w:val="21"/>
                <w:szCs w:val="21"/>
                <w:color w:val="auto"/>
              </w:rPr>
            </w:pPr>
          </w:p>
        </w:tc>
      </w:tr>
      <w:tr>
        <w:trPr>
          <w:trHeight w:val="230"/>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4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FF0FC"/>
            </w:tcBorders>
          </w:tcPr>
          <w:p>
            <w:pPr>
              <w:spacing w:after="0"/>
              <w:rPr>
                <w:sz w:val="19"/>
                <w:szCs w:val="19"/>
                <w:color w:val="auto"/>
              </w:rPr>
            </w:pPr>
          </w:p>
        </w:tc>
      </w:tr>
      <w:tr>
        <w:trPr>
          <w:trHeight w:val="237"/>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share-based compensation expense</w:t>
            </w:r>
          </w:p>
        </w:tc>
        <w:tc>
          <w:tcPr>
            <w:tcW w:w="900" w:type="dxa"/>
            <w:vAlign w:val="bottom"/>
            <w:tcBorders>
              <w:bottom w:val="single" w:sz="8" w:color="auto"/>
            </w:tcBorders>
            <w:shd w:val="clear" w:color="auto" w:fill="CFF0FC"/>
          </w:tcPr>
          <w:p>
            <w:pPr>
              <w:jc w:val="right"/>
              <w:ind w:right="742"/>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1,030</w:t>
            </w:r>
          </w:p>
        </w:tc>
        <w:tc>
          <w:tcPr>
            <w:tcW w:w="2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43"/>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4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For the three months ended June 30, 2017 and 2016, we recognized share-based compensation expense related to stock options of $552,000 and $251,000, respectively, of which $22,000 and $5,000 related to non-employee stock options, respectively. For the six months ended June 30, 2017 and 2016, we recognized share-based compensation expense related to stock options of $1.0 million and $501,000, respectively, of which $41,000 and $13,000 related to non-employee stock options, respectively.</w:t>
      </w:r>
    </w:p>
    <w:p>
      <w:pPr>
        <w:spacing w:after="0" w:line="18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For the three months ended June 30, 2017 and 2016, we recognized share-based compensation expense related to restricted stock awards totaling $478,000 and $179,000, respectively, of which $445,000 and $146,000 related to non-employee restricted stock awards, respectively. For the six months ended June 30, 2017 and 2016, we recognized share-based compensation expense related to restricted stock awards totaling $894,000 and $418,000, respectively, of which $828,000 and $352,000 related to non-employee restricted stock awards, respectively. As of June 30, 2017, unrecognized compensation costs related to employee stock options and restricted stock awards were approximately $6.2 million and $162,000, respectively, which are expected to be recognized over a weighted average period of approximately 2.9 years and 1.2 years,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Our president and chief executive officer is also the sole managing member of Araxes Pharma LLC, or Araxes. Four individuals are significant stockholders of each of us and Araxes. The following is a summary of transactions with Araxes for the three and six months ended June 30, 2017 and 2016:</w:t>
      </w:r>
    </w:p>
    <w:p>
      <w:pPr>
        <w:spacing w:after="0" w:line="16" w:lineRule="exact"/>
        <w:rPr>
          <w:sz w:val="20"/>
          <w:szCs w:val="20"/>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Asset Purchase Agreement</w:t>
      </w:r>
    </w:p>
    <w:p>
      <w:pPr>
        <w:spacing w:after="0" w:line="117" w:lineRule="exact"/>
        <w:rPr>
          <w:sz w:val="20"/>
          <w:szCs w:val="20"/>
          <w:color w:val="auto"/>
        </w:rPr>
      </w:pPr>
    </w:p>
    <w:p>
      <w:pPr>
        <w:ind w:left="760" w:firstLine="483"/>
        <w:spacing w:after="0" w:line="277" w:lineRule="auto"/>
        <w:rPr>
          <w:sz w:val="20"/>
          <w:szCs w:val="20"/>
          <w:color w:val="auto"/>
        </w:rPr>
      </w:pPr>
      <w:r>
        <w:rPr>
          <w:rFonts w:ascii="Arial" w:cs="Arial" w:eastAsia="Arial" w:hAnsi="Arial"/>
          <w:sz w:val="18"/>
          <w:szCs w:val="18"/>
          <w:color w:val="auto"/>
        </w:rPr>
        <w:t>Under our asset purchase agreement with Araxes, in the three and six months ended June 30, 2017, we paid a milestone payment of $200,000 to Araxes following dosing of the first patient in the first KO-947 Phase 1 clinical trial in April 2017.</w:t>
      </w:r>
    </w:p>
    <w:p>
      <w:pPr>
        <w:spacing w:after="0" w:line="62" w:lineRule="exact"/>
        <w:rPr>
          <w:sz w:val="20"/>
          <w:szCs w:val="20"/>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Facility Sublease</w:t>
      </w:r>
    </w:p>
    <w:p>
      <w:pPr>
        <w:spacing w:after="0" w:line="117" w:lineRule="exact"/>
        <w:rPr>
          <w:sz w:val="20"/>
          <w:szCs w:val="20"/>
          <w:color w:val="auto"/>
        </w:rPr>
      </w:pPr>
    </w:p>
    <w:p>
      <w:pPr>
        <w:jc w:val="both"/>
        <w:ind w:left="760" w:firstLine="483"/>
        <w:spacing w:after="0" w:line="273" w:lineRule="auto"/>
        <w:rPr>
          <w:sz w:val="20"/>
          <w:szCs w:val="20"/>
          <w:color w:val="auto"/>
        </w:rPr>
      </w:pPr>
      <w:r>
        <w:rPr>
          <w:rFonts w:ascii="Arial" w:cs="Arial" w:eastAsia="Arial" w:hAnsi="Arial"/>
          <w:sz w:val="17"/>
          <w:szCs w:val="17"/>
          <w:color w:val="auto"/>
        </w:rPr>
        <w:t>We sublease office space from Wellspring Biosciences, Inc., or Wellspring, a wholly owned subsidiary of Araxes. In December 2016, we entered into a third amendment to the sublease agreement with Wellspring for office space in La Jolla, California, or Sublease, pursuant to which the Sublease expired in June 2017. In December 2016, we also entered into a new sublease agreement with Wellspring for office space in San Diego, California, or New Sublease. The New Sublease commenced in June 2017 and will expire on October 31, 2019. For the three months ended June 30, 2017 and 2016, rent expense related to our subleases was $32,000 and $26,000, respectively. For the six months ended June 30, 2017 and 2016, rent expense related to our subleases was $63,000 and $53,000, respectively.</w:t>
      </w:r>
    </w:p>
    <w:p>
      <w:pPr>
        <w:spacing w:after="0" w:line="70" w:lineRule="exact"/>
        <w:rPr>
          <w:sz w:val="20"/>
          <w:szCs w:val="20"/>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jc w:val="both"/>
        <w:ind w:left="760" w:firstLine="483"/>
        <w:spacing w:after="0" w:line="288" w:lineRule="auto"/>
        <w:rPr>
          <w:sz w:val="20"/>
          <w:szCs w:val="20"/>
          <w:color w:val="auto"/>
        </w:rPr>
      </w:pPr>
      <w:r>
        <w:rPr>
          <w:rFonts w:ascii="Arial" w:cs="Arial" w:eastAsia="Arial" w:hAnsi="Arial"/>
          <w:sz w:val="16"/>
          <w:szCs w:val="16"/>
          <w:color w:val="auto"/>
        </w:rPr>
        <w:t>We have a management services agreement with Araxes pursuant to which Araxes pays us a fixed fee of $65,000 per month for management services. In addition, the agreement allows for Araxes to reimburse us an amount equal to the number of full time equivalents, or FTE, performing research and development services for Araxes, at an annual FTE rate of approximately $350,000, plus actual expenses as reasonably incurred. The initial term expired on December 31, 2015 but, pursuant to the terms of the agreement, renews automatically for additional consecutive one-year periods. The agreement may be terminated by either party with a notice of at least 30 days prior to the expiration of the then-renewal term. For the three months ended June 30, 2017 and 2016, we recorded reimbursements of $102,000 and $85,000, respectively, and for the six months ended June 30, 2017 and 2016, we recorded reimbursements of $248,000 and $191,000, respectively, for research and development services provided to Araxes, which was recorded as a reduction to research and development expenses on our condensed statements of operations and comprehensive loss. As of June 30, 2017 and December 31, 2016, $304,000 and $295,000 related to management fees and reimbursements of research and development services, respectively, are included in accounts receivable, related party on our condensed balance sheets.</w:t>
      </w:r>
    </w:p>
    <w:p>
      <w:pPr>
        <w:spacing w:after="0" w:line="61" w:lineRule="exact"/>
        <w:rPr>
          <w:sz w:val="20"/>
          <w:szCs w:val="20"/>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Services Agreement</w:t>
      </w:r>
    </w:p>
    <w:p>
      <w:pPr>
        <w:spacing w:after="0" w:line="117" w:lineRule="exact"/>
        <w:rPr>
          <w:sz w:val="20"/>
          <w:szCs w:val="20"/>
          <w:color w:val="auto"/>
        </w:rPr>
      </w:pPr>
    </w:p>
    <w:p>
      <w:pPr>
        <w:jc w:val="both"/>
        <w:ind w:left="760" w:firstLine="483"/>
        <w:spacing w:after="0" w:line="289" w:lineRule="auto"/>
        <w:rPr>
          <w:sz w:val="20"/>
          <w:szCs w:val="20"/>
          <w:color w:val="auto"/>
        </w:rPr>
      </w:pPr>
      <w:r>
        <w:rPr>
          <w:rFonts w:ascii="Arial" w:cs="Arial" w:eastAsia="Arial" w:hAnsi="Arial"/>
          <w:sz w:val="16"/>
          <w:szCs w:val="16"/>
          <w:color w:val="auto"/>
        </w:rPr>
        <w:t>We have a services agreement with Wellspring which allows for payment of research and development services provided to us of an amount equal to the number of FTE’s performing the services, at an annual FTE rate of $400,000, plus actual expenses as reasonably incurred. The initial term of this services agreement expired on December 31, 2015 but, pursuant to the terms of the agreement, renews automatically for additional consecutive one-year periods. The agreement may be terminated by either party with a notice of at least 30 days prior to the expiration of the then-renewal term. For the three months ended June 30, 2017 and 2016, we recognized $347,000 and $1.0 million, respectively, and for the six months ended June 30, 2017 and 2016, we recognized $739,000 and $2.2 million, respectively, from research and development services provided to us under this agreement as research and development expense, related party on our condensed statements of operations and comprehensive loss. As of June 30, 2017 and December 31, 2016, $361,000 and $770,000, respectively, related to research and development services under this agreement are included in accounts payable and accrued expenses, related party on our condensed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financial statements and related notes included in this Quarterly Report on Form 10-Q, or Quarterly Report, and the audited financial statements and notes thereto as of and for the fiscal year ended December 31, 2016 and the related Management’s Discussion and Analysis of Financial Condition and Results of Operations, both of which are contained in our Annual Report on Form 10-K for the fiscal year ended December 31, 2016 filed with the Securities and Exchange Commission, or SEC, on March 14, 2017.</w:t>
      </w:r>
    </w:p>
    <w:p>
      <w:pPr>
        <w:spacing w:after="0" w:line="18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i w:val="1"/>
          <w:iCs w:val="1"/>
          <w:color w:val="auto"/>
        </w:rPr>
        <w:t>This Quarterly Report includes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that involve a number of risks, uncertainties and assumptions. These forward-looking statements can generally be identified as such because the context of the statement will include words such as “may,” “will,” “intend,” “plan,” “believe,” “anticipate,” “expect,” “estimate,” “predict,” “potential,” “continue,” “likely,” or “opportunity,” the negative of these words or other similar words. Similarly, statements that describe our plans, strategies, intentions, expectations, objectives, goals or prospects and other statements that are not historical facts are also forward-looking statements. For such statements, we claim the protection of the Private Securities Litigation Reform Act of 1995. Readers of this Quarterly Report are cautioned not to place undue reliance on these forward-looking statements, which speak only as of the time this Quarterly Report was filed with the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 without limitation, the risk factors identified in our SEC reports, including this Quarterly Report. 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Except as required by law, we undertake no obligation to update publicly or revise our forward-looking statements.</w:t>
      </w:r>
    </w:p>
    <w:p>
      <w:pPr>
        <w:spacing w:after="0" w:line="18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References to the “Company,” “we,” “us” and “our” refer to Kura Oncology, Inc., a private Delaware corporation incorporated in the State of Delaware in August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 clinical-stage biopharmaceutical company committed to realizing the promise of precision medicines for the treatment of cancer. Our pipeline consists of small molecule product candidates that target cancer signaling pathways, and we intend to pair them with molecular or cellular diagnostics to identify those patients most likely to respond to treatment. We intend to advance our product candidates through a combination of internal development and strategic partnerships and maintain significant development and commercial rights.</w:t>
      </w:r>
    </w:p>
    <w:p>
      <w:pPr>
        <w:spacing w:after="0" w:line="18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Our lead product candidate, tipifarnib, is a potent, selective and orally bioavailable inhibitor of farnesyl transferase. Tipifarnib has been studied in more than 5,000 cancer patients and has demonstrated compelling and durable anti-cancer activity in certain patients with a manageable side effect profile. We are evaluating tipifarnib in four Phase 2 clinical trials: the first in patients with locally advanced solid tumors that carry mutations in the Harvey rat sarcoma viral oncogene homolog, or HRAS, gene; the second in patients with peripheral T-cell lymphomas, or PTCL; the third in patients with myelodysplastic syndromes, or MDS; and the fourth in patients with chronic myelomonocytic leukemia, or CMML. Our goals with our ongoing Phase 2 clinical trials of tipifarnib are to confirm the clinical activity of tipifarnib in each disease indication, to validate biomarker hypotheses and to optimize dose and schedule for each disease to build a data package supporting advancement to pivotal study. If the data from one or more of these Phase 2 clinical trials is supportive, our goal is to initiate a pivotal trial in 2018.</w:t>
      </w:r>
    </w:p>
    <w:p>
      <w:pPr>
        <w:spacing w:after="0" w:line="17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second product candidate is KO-947, a potent and selective small molecule inhibitor of extracellular signal related kinase, or ERK, which we are advancing as a potential treatment for patients with tumors that have mutations in, or other dysregulation of, the mitogen-activated protein kinase signaling pathway. Prolonged pathway inhibition and evidence of durable tumor regression have been observed with KO-947 in preclinical models, and the drug-like properties of KO-947 support an intravenous formulation, which may allow for higher drug concentration, and potentially improved tolerability in the clinic. In April 2017, we commenced a Phase 1 clinical trial of KO-947, which is designed to determine the maximum tolerated dose of KO-947 in patients with locally advanced unresectable or metastatic, relapsed and/or refractory, non-hematological malignancies. We anticipate receiving data from this trial in 2018.</w:t>
      </w:r>
    </w:p>
    <w:p>
      <w:pPr>
        <w:spacing w:after="0" w:line="18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third program is KO-539, a potent and selective small molecule inhibitor of the menin-mixed lineage leukemia, or menin-MLL, protein-protein interaction. Chromosomal translocations of the MLL gene play a causative role in the onset, development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progression of a subset of acute leukemias, and the activity of the MLL fusion proteins are critically dependent on binding the protein menin. Our preclinical data demonstrates that inhibitors of the menin-MLL interaction induced robust and durable regressions in multiple models of MLL-fusion leukemias. We nominated KO-539 as a development candidate for this program in December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Preliminary data as of July 27, 2017, from the first five evaluable patients with HRAS mutant squamous cell carcinomas of the head and neck, or SCCHN, enrolled in our Phase 2 HRAS clinical trial, has shown confirmed partial responses, or PRs, in three of the five patients, and stable disease, or SD, in the other two patients. Patients in the study who had failed therapy with cetuximab, with or without chemotherapy, or immune therapy have achieved objective PRs upon treatment with tipifarnib. None of the five evaluable patients were reported to have experienced an objective PR on their prior line of therapy, and at least three of the five experienced only progressive disease on their prior line of therapy, including one patient receiving pembroluzimab. As of the data cut-off date, for the patients with PRs, one remained on study through cycle 20 and left the study in cycle 21, one remains on study in cycle 18 and one is on study in cycle 4. For the patients with SD, one remained on study through cycle 8 and the other was recently enrolled and is in cycle 2. A sixth patient has been enrolled and is pending objective response assessment. Enrollment of the remaining four patients for this clinical trial cohort is ongoing.</w:t>
      </w:r>
    </w:p>
    <w:p>
      <w:pPr>
        <w:spacing w:after="0" w:line="16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June 2017, we presented preliminary data from our Phase 2 PTCL clinical trial at the International Conference on Malignant Lymphoma, in Lugano, Switzerland, and at the 22</w:t>
      </w:r>
      <w:r>
        <w:rPr>
          <w:rFonts w:ascii="Arial" w:cs="Arial" w:eastAsia="Arial" w:hAnsi="Arial"/>
          <w:sz w:val="14"/>
          <w:szCs w:val="14"/>
          <w:color w:val="auto"/>
        </w:rPr>
        <w:t>nd</w:t>
      </w:r>
      <w:r>
        <w:rPr>
          <w:rFonts w:ascii="Arial" w:cs="Arial" w:eastAsia="Arial" w:hAnsi="Arial"/>
          <w:sz w:val="17"/>
          <w:szCs w:val="17"/>
          <w:color w:val="auto"/>
        </w:rPr>
        <w:t xml:space="preserve"> Congress of the European Hematology Association, showing that seven of 18 patients received clinical benefit from treatment with tipifarnib (3 PRs and 4 SD). Our presented data also identified the chemokine known as CXCL12, as a potential biomarker of tipifarnib’s activity in PTCL. CXCL12 is secreted in large amounts by lymph nodes, bone marrow stroma, liver, and lung, and it plays key roles in tumor invasion, bone marrow homing and site of metastasis. We have extended the clinical trial to enroll an additional 12 patients with angioimmunoblastic T-cell lymphoma, a subtype of PTCL that is characterized by high expression of CXCL12, to seek to validate the biomarker.</w:t>
      </w:r>
    </w:p>
    <w:p>
      <w:pPr>
        <w:spacing w:after="0" w:line="17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July 2017, we were issued a U.S. patent directed to the use of tipifarnib in patients with HRAS mutant SCCHN. The patent has an expiration date of August 2036, excluding any possible patent term extension.</w:t>
      </w:r>
    </w:p>
    <w:p>
      <w:pPr>
        <w:spacing w:after="0" w:line="170"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We are modifying our Phase 2 clinical trial in MDS based upon the identification of CXCL12 as a potential biomarker of tipifarnib’s activity in PTCL and the known functional effects of this chemokine in the bone marrow. CXCL12 is known to induce the homing of myeloid cells in the bone marrow. In the most extreme cases, such as rare conditions with activating mutations in the CXCL12 pathway, patients experience persistent neutropenia. We hypothesized that the observation of isolated neutropenia (neutropenia without myelosuppression) could be employed as a surrogate marker of high CXCL12 activity in the bone marrow, and consequently, sensitivity to tipifarnib. We retrospectively analyzed data from the previous Phase 2 clinical trial in MDS sponsored by Johnson &amp; Johnson and observed that the majority of responders to tipifarnib were patients with neutropenia at study entry. Based on this data and the relationship between CXCL12, neutropenia and the activity of tipifarnib, we are modifying our Phase 2 MDS clinical trial to test prospectively whether neutropenia at study entry could enrich for response to tipifarnib. Under the amended study design, we will plan to enroll two cohorts of up to 18 patients. The clinical trial will have a two-stage study design. Two responses will be needed to move to the second stage of each cohort, and the clinical trial is positive with four or more responses in either cohort. We will open the inclusion criteria to MDS patients of any risk group who have neutropenia and have failed up to two prior therapies and will modify the primary endpoint from transfusion independence to objective response.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11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Our accumulated deficit was $69.2 million as of June 30, 2017. We expect to continue to incur significant expenses and increasing operating losses for at least the next several years as we continue the research and clinical development of, and seek regulatory approval for, our product candidates. Our net losses may fluctuate significantly from quarter-to-quarter and year-to-year. As of June 30, 2017, we had cash, cash equivalents and short-term investments of $53.2 million. Although we expect our existing cash, cash equivalents and short-term investments will be sufficient to fund our current operations into the second half of 2018, our development programs will require significant additional funds. We may also need to access the funds available under our term loan facility or raise additional funds sooner than expected to pursue other development activities related to our pipeline programs. We may seek to obtain additional financing in the future through equity or debt financings, or through collaborations or partnerships with other companies. We may not be able to raise additional capital on terms acceptable to us, or at all, and any failure to raise capital as and when needed could compromise our ability to execute on our business plan.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focus on the research and development of our product programs. Our research and development expenses consist of costs associated with our research activities including salaries, benefits, share-based compensation and other personnel costs, clinical trial costs, manufacturing costs for non-commercial products, contract services and research supply, equipment and facility costs. All such costs are charged to research and development expense as incurred. Payments that we make in connection with in-licensed technology for a particular research and development project that have no alternative future uses (in other research and development projects or otherwise) and therefore, no separate economic values, are expensed as research and development costs at the time such costs are incurred. As of June 30, 2017, we have no in-licensed technologies that have alternative future uses in research and development projects or otherwise.</w:t>
      </w:r>
    </w:p>
    <w:p>
      <w:pPr>
        <w:spacing w:after="0" w:line="18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Since inception through June 30, 2017, we have incurred an aggregate of approximately $52.0 million in research and development expenses related to the in-licensing and development of our product candidates and pipeline programs. We cannot determine with certainty the timing of initiation, the duration or the completion costs of current or future preclinical studies and clinical trials of our product candidates. At this time, due to the inherently unpredictable nature of preclinical and clinical development, we are unable to estimate with any certainty the costs we will incur and the timelines we will require in the continued development of our product candidates and our other pipeline programs. Clinical and preclinical development timelines, the probability of success and development costs can differ materially from expectations. Our future research and development expenses will depend on the preclinical and clinical success of each product candidate that we develop, as well as ongoing assessments of the commercial potential of such product candidates.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8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Completion of clinical trials may take several years or more, and the length of time generally varies according to the type, complexity, novelty and intended use of a product candidate. The cost of clinical trials may vary significantly over the life of a project as a result of differences arising during clinical development, including, among others:</w:t>
      </w:r>
    </w:p>
    <w:p>
      <w:pPr>
        <w:spacing w:after="0" w:line="60"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 patient clinical trial costs;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clinical trials required for approval;</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sites included in the clinical trials;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patients that participate in the clinical trials;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complexity of analyses and tests performed during the clinical trial;</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phase of development of the product candidate; and</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General and administrative expenses consist primarily of salaries, benefits, share-based compensation and other personnel costs for employees in executive, finance, business development and support functions. Other significant general and administrative expenses include the costs associated with obtaining and maintaining our patent portfolio, professional services for audit, legal and investor and public relations, corporate activities and allocated facilities.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Other income (expense) consists primarily of management fee income, interest income and interest expense. Management fee income is earned in accordance with the management services agreement, as amended, with our affiliated company Araxes. Interest expense mainly consists of interest on long-term debt.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incurred net losses and have not recorded any U.S. federal or state income tax benefits for the losses as they have been offset by valuation allowances.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our results of operations and changes for the three and six months ended June 30, 2017 and 2016,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center"/>
              <w:ind w:right="172"/>
              <w:spacing w:after="0"/>
              <w:rPr>
                <w:sz w:val="20"/>
                <w:szCs w:val="20"/>
                <w:color w:val="auto"/>
              </w:rPr>
            </w:pPr>
            <w:r>
              <w:rPr>
                <w:rFonts w:ascii="Arial" w:cs="Arial" w:eastAsia="Arial" w:hAnsi="Arial"/>
                <w:sz w:val="16"/>
                <w:szCs w:val="16"/>
                <w:b w:val="1"/>
                <w:bCs w:val="1"/>
                <w:color w:val="auto"/>
                <w:w w:val="92"/>
              </w:rPr>
              <w:t>Six Months Ended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3"/>
        </w:trPr>
        <w:tc>
          <w:tcPr>
            <w:tcW w:w="3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Increase</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6"/>
                <w:szCs w:val="16"/>
                <w:b w:val="1"/>
                <w:bCs w:val="1"/>
                <w:color w:val="auto"/>
                <w:w w:val="87"/>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Increase</w:t>
            </w:r>
          </w:p>
        </w:tc>
      </w:tr>
      <w:tr>
        <w:trPr>
          <w:trHeight w:val="234"/>
        </w:trPr>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w w:val="90"/>
              </w:rPr>
              <w:t>(Decrease)</w:t>
            </w:r>
          </w:p>
        </w:tc>
        <w:tc>
          <w:tcPr>
            <w:tcW w:w="24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2"/>
              </w:rPr>
              <w:t>(Decrease)</w:t>
            </w: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w:t>
            </w: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36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11,165</w:t>
            </w: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9,585</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2017 and 2016</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The following table illustrates the components of our research and development expenses for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Increase</w:t>
            </w:r>
          </w:p>
        </w:tc>
      </w:tr>
      <w:tr>
        <w:trPr>
          <w:trHeight w:val="213"/>
        </w:trPr>
        <w:tc>
          <w:tcPr>
            <w:tcW w:w="6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6"/>
                <w:szCs w:val="16"/>
                <w:b w:val="1"/>
                <w:bCs w:val="1"/>
                <w:color w:val="auto"/>
              </w:rPr>
              <w:t>2016</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(Decrease)</w:t>
            </w:r>
          </w:p>
        </w:tc>
      </w:tr>
      <w:tr>
        <w:trPr>
          <w:trHeight w:val="226"/>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9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Tipifarnib</w:t>
            </w:r>
          </w:p>
        </w:tc>
        <w:tc>
          <w:tcPr>
            <w:tcW w:w="900" w:type="dxa"/>
            <w:vAlign w:val="bottom"/>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2,067</w:t>
            </w:r>
          </w:p>
        </w:tc>
        <w:tc>
          <w:tcPr>
            <w:tcW w:w="24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1,344</w:t>
            </w:r>
          </w:p>
        </w:tc>
        <w:tc>
          <w:tcPr>
            <w:tcW w:w="24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KO-947</w:t>
            </w: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Discovery and preclinical stage programs, collectively</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Internal research and development expenses</w:t>
            </w:r>
          </w:p>
        </w:tc>
        <w:tc>
          <w:tcPr>
            <w:tcW w:w="9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1,260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ind w:left="500"/>
              <w:spacing w:after="0"/>
              <w:rPr>
                <w:sz w:val="20"/>
                <w:szCs w:val="20"/>
                <w:color w:val="auto"/>
              </w:rPr>
            </w:pPr>
            <w:r>
              <w:rPr>
                <w:rFonts w:ascii="Arial" w:cs="Arial" w:eastAsia="Arial" w:hAnsi="Arial"/>
                <w:sz w:val="18"/>
                <w:szCs w:val="18"/>
                <w:color w:val="auto"/>
              </w:rPr>
              <w:t>Total research and development expenses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4,936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increase in external research and development expense for tipifarnib for the three months ended June 30, 2017 compared to the same period in 2016 was primarily due to an increase of $0.6 million in clinical development expenses related to our ongoing Phase 2 clinical trials. The decrease in external research and development expenses for our discovery and preclinical stage product programs was primarily due to a decrease in out-sourced research expenses related to our menin-MLL program as we completed the discovery research and nominated KO-539 as a development candidate in December 2016. Internal research and development expenses include employee salaries and related expenses, share-based compensation expense, facilities expense, overhead expenses and other outside expenses. The increase in internal research and development expenses was primarily due to increases of $0.4 million in non-cash share-based compensation expense and $0.2 million in personnel costs. We expect our research and development expenses to increase in future periods as we continue clinical development activities for our tipifarnib and KO-947 product candidates and further research and development of our other programs.</w:t>
      </w:r>
    </w:p>
    <w:p>
      <w:pPr>
        <w:spacing w:after="0" w:line="166" w:lineRule="exact"/>
        <w:rPr>
          <w:sz w:val="20"/>
          <w:szCs w:val="20"/>
          <w:color w:val="auto"/>
        </w:rPr>
      </w:pPr>
    </w:p>
    <w:p>
      <w:pPr>
        <w:jc w:val="both"/>
        <w:ind w:firstLine="518"/>
        <w:spacing w:after="0" w:line="329"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The increase in general and administrative expenses for the three months ended June 30, 2017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2016 was primarily due to increases of $0.2 million in professional expenses and $0.2 million in share-based compensation expense. We expect our general and administrative expenses to increase in future periods to support our planned increase in research and development activities.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Comparison of the Six Months Ended June 30, 2017 and 2016</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The following table illustrates the components of our research and development expenses for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54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6"/>
                <w:szCs w:val="16"/>
                <w:b w:val="1"/>
                <w:bCs w:val="1"/>
                <w:color w:val="auto"/>
              </w:rPr>
              <w:t>Six Months Ended June 30,</w:t>
            </w: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Increase</w:t>
            </w:r>
          </w:p>
        </w:tc>
      </w:tr>
      <w:tr>
        <w:trPr>
          <w:trHeight w:val="213"/>
        </w:trPr>
        <w:tc>
          <w:tcPr>
            <w:tcW w:w="5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(Decrease)</w:t>
            </w:r>
          </w:p>
        </w:tc>
      </w:tr>
      <w:tr>
        <w:trPr>
          <w:trHeight w:val="226"/>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Tipifarnib</w:t>
            </w:r>
          </w:p>
        </w:tc>
        <w:tc>
          <w:tcPr>
            <w:tcW w:w="2100" w:type="dxa"/>
            <w:vAlign w:val="bottom"/>
            <w:gridSpan w:val="2"/>
          </w:tcPr>
          <w:p>
            <w:pPr>
              <w:jc w:val="right"/>
              <w:ind w:right="701"/>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4,379</w:t>
            </w:r>
          </w:p>
        </w:tc>
        <w:tc>
          <w:tcPr>
            <w:tcW w:w="240" w:type="dxa"/>
            <w:vAlign w:val="bottom"/>
          </w:tcPr>
          <w:p>
            <w:pPr>
              <w:spacing w:after="0"/>
              <w:rPr>
                <w:sz w:val="19"/>
                <w:szCs w:val="19"/>
                <w:color w:val="auto"/>
              </w:rPr>
            </w:pP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2,532</w:t>
            </w:r>
          </w:p>
        </w:tc>
        <w:tc>
          <w:tcPr>
            <w:tcW w:w="24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KO-947</w:t>
            </w:r>
          </w:p>
        </w:tc>
        <w:tc>
          <w:tcPr>
            <w:tcW w:w="1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1,835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Discovery and preclinical stage programs, collectively</w:t>
            </w:r>
          </w:p>
        </w:tc>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2,578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(1,273)</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Internal research and development expenses</w:t>
            </w:r>
          </w:p>
        </w:tc>
        <w:tc>
          <w:tcPr>
            <w:tcW w:w="12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2,640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FF0FC"/>
          </w:tcPr>
          <w:p>
            <w:pPr>
              <w:spacing w:after="0"/>
              <w:rPr>
                <w:sz w:val="19"/>
                <w:szCs w:val="19"/>
                <w:color w:val="auto"/>
              </w:rPr>
            </w:pPr>
          </w:p>
        </w:tc>
      </w:tr>
      <w:tr>
        <w:trPr>
          <w:trHeight w:val="223"/>
        </w:trPr>
        <w:tc>
          <w:tcPr>
            <w:tcW w:w="5420" w:type="dxa"/>
            <w:vAlign w:val="bottom"/>
          </w:tcPr>
          <w:p>
            <w:pPr>
              <w:ind w:left="500"/>
              <w:spacing w:after="0"/>
              <w:rPr>
                <w:sz w:val="20"/>
                <w:szCs w:val="20"/>
                <w:color w:val="auto"/>
              </w:rPr>
            </w:pPr>
            <w:r>
              <w:rPr>
                <w:rFonts w:ascii="Arial" w:cs="Arial" w:eastAsia="Arial" w:hAnsi="Arial"/>
                <w:sz w:val="18"/>
                <w:szCs w:val="18"/>
                <w:color w:val="auto"/>
              </w:rPr>
              <w:t>Total research and development expenses</w:t>
            </w:r>
          </w:p>
        </w:tc>
        <w:tc>
          <w:tcPr>
            <w:tcW w:w="1240" w:type="dxa"/>
            <w:vAlign w:val="bottom"/>
          </w:tcPr>
          <w:p>
            <w:pPr>
              <w:spacing w:after="0"/>
              <w:rPr>
                <w:sz w:val="19"/>
                <w:szCs w:val="19"/>
                <w:color w:val="auto"/>
              </w:rPr>
            </w:pPr>
          </w:p>
        </w:tc>
        <w:tc>
          <w:tcPr>
            <w:tcW w:w="860" w:type="dxa"/>
            <w:vAlign w:val="bottom"/>
            <w:tcBorders>
              <w:bottom w:val="single" w:sz="8" w:color="auto"/>
            </w:tcBorders>
          </w:tcPr>
          <w:p>
            <w:pPr>
              <w:jc w:val="right"/>
              <w:ind w:right="701"/>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11,165</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9,585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increase in external research and development expense for tipifarnib for the six months ended June 30, 2017 compared to the same period in 2016 was primarily due to an increase of $1.6 million in clinical development expenses related to our ongoing Phase 2 clinical trials. The decrease in external research and development expenses for our discovery and preclinical stage product programs was primarily due to a decrease in out-sourced research expenses related to our menin-MLL program as we completed the discovery research and nominated KO-539 as a development candidate in December 2016. The increase in internal research and development expenses was primarily due to increases of $0.7 million in non-cash share-based compensation and $0.4 million in personnel costs.</w:t>
      </w:r>
    </w:p>
    <w:p>
      <w:pPr>
        <w:spacing w:after="0" w:line="19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The increase in general and administrative expenses for the six months ended June 30, 2017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2016 was primarily due to an increase in share-based compensation expense.</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The decrease in other income, net, for the six months ended June 30, 2017 compared to the same period in 2016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an increase of $0.2 million in interest expense and a decrease of $0.1 million in management fee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Since our inception, we have funded our operations primarily through equity and debt financings. We have devoted our resources to funding our research and development programs, including discovery research, preclinical and clinical development activities. As of June 30, 2017, we had cash, cash equivalents and short-term investments of $53.2 million.</w:t>
      </w:r>
    </w:p>
    <w:p>
      <w:pPr>
        <w:spacing w:after="0" w:line="18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In April 2016, we entered into a loan and security agreement, or loan agreement, with Oxford Finance LLC and Silicon Valley Bank, or collectively referred to as the lenders, providing for up to $20.0 million in a series of term loans. The loan agreement was subsequently amended in May 2017, or the loan amendment, to extend the second draw period and modify the terms of the unused fee</w:t>
      </w:r>
      <w:r>
        <w:rPr>
          <w:rFonts w:ascii="Arial" w:cs="Arial" w:eastAsia="Arial" w:hAnsi="Arial"/>
          <w:sz w:val="13"/>
          <w:szCs w:val="13"/>
          <w:color w:val="auto"/>
        </w:rPr>
        <w:t>.</w:t>
      </w:r>
      <w:r>
        <w:rPr>
          <w:rFonts w:ascii="Arial" w:cs="Arial" w:eastAsia="Arial" w:hAnsi="Arial"/>
          <w:sz w:val="17"/>
          <w:szCs w:val="17"/>
          <w:color w:val="auto"/>
        </w:rPr>
        <w:t xml:space="preserve"> Under the loan agreement and loan amendment, we have borrowed $7.5 million, or Term A Loan, and may borrow up to an additional $12.5 million at a certain specified time, or Term B Loan, and together with Term A Loan, the Term Loans. The Term B Loan may be drawn, between August 1, 2017 and October 31, 2017, as amended. All of the Term Loans mature on November 1, 2020, or Maturity Date. Repayment on the Term Loans is interest only through May 1, 2018, followed by 30 equal monthly payments of principal plus accrued interest commencing on June 1, 2018. The per annum interest rate for any outstanding Term Loans is the greater of (i) 7.75% and (ii) the sum of (a) the prime rate reported in The Wall Street Journal on the last business day of the month that immediately precedes the month in which the interest will accrue, plus (b) 4.25%. In addition, a final payment of 7.50% of the amounts of the term loans drawn will be due on the earlier of the Maturity Date, acceleration or prepayment of the Term Loans. If we elect to prepay the Term Loans, a prepayment fee equal to 1%, 2% or 3% of the principal balance also will be due, depending upon when the prepayment occurs. We will also be required to pay an unused fee, extended under the loan amendment, to the earlier of November 1, 2017 or prior repayment of the Term Loans in an amount equal to (a) 2.75%, amended from 2.00%, multiplied by (b) $20.0 million minus the aggregate amount of the term loans drawn on or before October 31, 2017. See Note 6, Long-Term Debt, in the Notes to Unaudited Condensed Financial Statements for further details of the term loan facility.</w:t>
      </w:r>
    </w:p>
    <w:p>
      <w:pPr>
        <w:spacing w:after="0" w:line="18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obligations under the loan agreement are secured by substantially all of our assets other than our intellectual property, but including proceeds from the sale, licensing or other disposition of our intellectual property. Our intellectual property is subject to negative covenants, which, among other things, prohibit us from selling, transferring, assigning, mortgaging, pledging, leasing, granting a security interest in or otherwise encumbering our intellectual property, subject to limited exceptions.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January 2017, we entered into the ATM facility with Cowen, under which we may offer and sell, from time to time, in our sole discretion, shares of common stock having aggregate proceeds of up to $25.0 million through Cowen as our sales agent. As of August 2, 2017, we have sold 14,300 shares of our common stock under the ATM facility for gross proceeds of $163,000.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jc w:val="both"/>
        <w:ind w:firstLine="518"/>
        <w:spacing w:after="0" w:line="279" w:lineRule="auto"/>
        <w:rPr>
          <w:sz w:val="20"/>
          <w:szCs w:val="20"/>
          <w:color w:val="auto"/>
        </w:rPr>
      </w:pPr>
      <w:r>
        <w:rPr>
          <w:rFonts w:ascii="Arial" w:cs="Arial" w:eastAsia="Arial" w:hAnsi="Arial"/>
          <w:sz w:val="17"/>
          <w:szCs w:val="17"/>
          <w:color w:val="auto"/>
        </w:rPr>
        <w:t>Although we believe that our existing cash, cash equivalents and short-term investments will be sufficient to fund our cash requirements into the second half of 2018, we will require significant additional financing in the future to continue to fund our operations. 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17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have incurred operating losses since inception and negative cash flows from operating activities. As of June 30, 2017, we had an accumulated deficit of $69.2 million. We expect to continue to incur significant losses for the foreseeable future, and we expect the losses to increase as we continue the development of, and seek regulatory approvals for, our product candidates and begin to commercialize any approved products. To date, we have not generated any revenues from product sales, and we do not have any approved products. We do not know when, or if, we will generate any revenue from product sales. We do not expect to generate significant revenue from product sales unless and until we obtain regulatory approval of and commercialize one of our current or future product candidates. We are subject to all of the risks incident in the development of new therapeutic products,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7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stock offerings, debt financings, collaborations, strategic partnerships and licensing arrangements. Other than our term loan facility, we do not have any committed external source of funds. Additional capital may not be available on reasonable terms, if at all. Subject to limited exceptions, our term loan facility also prohibits us from incurring indebtedness without the prior written consent of the lenders. To the extent that we raise additional capital through the sale of stock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increased fixed payment obligations and covenants limiting or restricting our ability to take specific actions, such as incurring additional debt, making capital expenditures, declaring dividends, selling or licensing intellectual property rights and other operating restrictions that could adversely impact our ability to conduct our business. If we raise additional funds through collaborations, strategic partnerships or licensing arrangements with third parties, we may have to relinquish valuable rights to our product candidates, including our other technologies, future revenue streams or research programs, or grant licenses on terms that may not be favorable to us. If we are unable to raise additional funds when needed, we may be unable to carry out our business plan. As a result we may be required to delay, limit, reduce or terminate our product development or future commercialization efforts or grant rights to develop and commercialize our product candidates even if we would otherwise prefer to develop and commercialize such product candidates ourselves, and our business, financial condition and results of operations would be materially adversely affected.</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our net cash flow activities for the six months ended June 30, 2017 and 2016, in thousands: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7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3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4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(14,732)</w:t>
            </w: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(13,139)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16,967</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7,453</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Operating Activities – </w:t>
      </w:r>
      <w:r>
        <w:rPr>
          <w:rFonts w:ascii="Arial" w:cs="Arial" w:eastAsia="Arial" w:hAnsi="Arial"/>
          <w:sz w:val="18"/>
          <w:szCs w:val="18"/>
          <w:color w:val="auto"/>
        </w:rPr>
        <w:t>The increase in net cash used in operating activities for the six months ended June 30, 2017 as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was primarily due to a higher net loss of $2.1 million, a $0.1 million increase in payments of accounts payable and accrued expenses and a $0.2 million increase in payments related to other long-term assets during the six months ended June 30, 2017, offset by a $1.0 million increase in share-based compensation.</w:t>
      </w:r>
    </w:p>
    <w:p>
      <w:pPr>
        <w:spacing w:after="0" w:line="18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i w:val="1"/>
          <w:iCs w:val="1"/>
          <w:color w:val="auto"/>
        </w:rPr>
        <w:t xml:space="preserve">Investing Activities – </w:t>
      </w:r>
      <w:r>
        <w:rPr>
          <w:rFonts w:ascii="Arial" w:cs="Arial" w:eastAsia="Arial" w:hAnsi="Arial"/>
          <w:sz w:val="18"/>
          <w:szCs w:val="18"/>
          <w:color w:val="auto"/>
        </w:rPr>
        <w:t>The increase in net cash provided by investing activities for the six months ended June 30, 2017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was due to a $10.5 million increase in proceeds from maturities of marketable securities, offset in part by a $4.1 million decrease in purchases of marketable securities.</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Financing Activities – </w:t>
      </w:r>
      <w:r>
        <w:rPr>
          <w:rFonts w:ascii="Arial" w:cs="Arial" w:eastAsia="Arial" w:hAnsi="Arial"/>
          <w:sz w:val="18"/>
          <w:szCs w:val="18"/>
          <w:color w:val="auto"/>
        </w:rPr>
        <w:t>Net cash provided by financing activities for the six months ended June 30, 2016 was related to borrowings under our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June 30, 2017, we did not have any off-balance sheet arrangements as defined in the rules and regulations of the U.S.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 of the Company</w:t>
      </w:r>
    </w:p>
    <w:p>
      <w:pPr>
        <w:spacing w:after="0" w:line="12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condensed financial statements, which have been prepared in accordance with U.S. generally accepted accounting principles. The preparation of these condensed financial statements requires management to make estimates and judgments that affect the reported amounts of assets, liabilities, revenues and expenses and the disclosure of contingent assets and liabilities in our condensed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 There have been no material changes to our critical accounting policies and estimates from the information provided in Part II, Item 7, “Management’s Discussion and Analysis of Financial Condition and Results of Operations – Critical Accounting Policies and Management Estimates,” included in our Annual Report on Form 10-K for the fiscal year ended December 31, 2016.</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required for smaller reporting companies.</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required by the Exchange Act is recorded, processed, summarized and reported within the timelines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was required to apply its judgment in evaluating the cost-benefit relationship of possible controls and procedures.</w:t>
      </w:r>
    </w:p>
    <w:p>
      <w:pPr>
        <w:spacing w:after="0" w:line="16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concluded that our disclosure controls and procedures were effective at the reasonable assurance level as of the end of the quarter covered by this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quarter ended June 30, 2017 that have materially affected, or are reasonably likely to materially affect, our internal control over financial reporting.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currently are not a party to any legal proceedings, the adverse outcome of which, in management’s opinion, individually or in the aggregate, would have a material adverse effect on our results of operations or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In addition to the information included or incorporated by reference in this Quarterly Report and in our other public filings, you should carefully consider the risks described below in evaluating our company. Our business, financial condition or results of operations could be harmed by any of these risks. The risks and uncertainties described below are not the only ones we face. Additional risks not currently known to us or other factors not perceived by us to present significant risks to our business at this time also may impair our business operations. We have marked with an asterisk (*) those risk factors that reflect changes from the risk factors previously disclosed in Item 1A of our Annual Report on Form 10-K for the fiscal year ended December 31, 2016, filed with the SEC on March 14,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losses over the next several years and may never achieve or maintain profitability.*</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expect that it will be many years, if ever, before we have a product candidate ready for commercialization. To date, we have financed our operations primarily through equity and debt financings. We expect to continue to incur significant expenses and increasing operating losses for the foreseeable future. The net losses we incur may fluctuate significantly from quarter-to-quarter and year-to-year. We anticipate that our expenses will increase substantially if and as we:</w:t>
      </w:r>
    </w:p>
    <w:p>
      <w:pPr>
        <w:spacing w:after="0" w:line="79"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research and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new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increased costs as a result of continued operations as a public company.</w:t>
      </w:r>
    </w:p>
    <w:p>
      <w:pPr>
        <w:spacing w:after="0" w:line="22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from the U.S. Food and Drug Administration, or FDA, for these product candidates and manufacturing, marketing and selling those products for which we may obtain marketing approval. We may never succeed in these activities and, even if we do, may never generate revenues that are significant or even sufficient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clinical-stage company with no approved products and no historical product revenue. Consequently, we expect that our financial and operating results will vary significantly from period to period.</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 clinical-stage company that has incurred losses since our inception and expect to continue to incur substantial losses in the foreseeable future. Biopharmaceutical product development is a highly speculative undertaking and involves a substantial degree of uncertainty. We expect our actual financial condition and operating results to fluctuate significantly from quarter-to-quarter or year-to-year due to a variety of factors, many of which are beyond our control. Factors relating to our business that may contribute to these fluctuations include:</w:t>
      </w:r>
    </w:p>
    <w:p>
      <w:pPr>
        <w:spacing w:after="0" w:line="79"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our clinical trials through all phases of clinical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the commencement, enrollment and timing of clinical trials;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secure and maintain collaborations, licensing or other arrangements for the future development and/or commercialization of our product candidates, as well as the terms of those arrangements;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as well as the timeliness of obtaining, additional funding to develop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clinical trials or marketing applications for product candidates that may compete with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receive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side effects of our product candidates that could delay or prevent approval or cause an approved drug to be taken off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delays in regulatory review and approval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or sufficient reimbursement for our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and the ability of third parties such as contract research organizations, or CROs, to adhere to clinical study and other regulatory requirements;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third-party manufacturers to manufacture our product candidates and key ingredients needed to conduct clinical trials and, if approved, successfully commercialize our products;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to us, and our ability as well as the ability of any third-party collaborators, to obtain, maintain and protect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and outcomes of any future intellectual property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key personnel to manage our business effectively;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build our finance infrastructure and, to the extent required, improve our accounting systems and controls.</w:t>
      </w:r>
    </w:p>
    <w:p>
      <w:pPr>
        <w:spacing w:after="0" w:line="2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Accordingly, the likelihood of our success must be evaluated in light of many potential challenges and variables associated with a clinical-stage company, many of which are outside of our control, and past operating or financial results should not be relied on as an indication of future results. Fluctuations in our operating and financial results could cause our share price to decline. It is possible that in some future periods, our operating results will be above or below the expectations of securities analysts or investors, which could also cause our share price to decline.</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are an early-stage clinical development company. Our operations to date have been limited to organizing and staffing our company, business planning, raising capital, identifying and acquiring potential product candidates, undertaking preclinical studies for our product candidates and undertaking clinical studies of tipifarnib and KO-947. We have not yet demonstrated our ability to successfully complete any clinical trials, including those clinical trials in support of FDA approval, obtain marketing approvals, manufacture a commercial scale product, or arrange for a third-party to do so on our behalf, or conduct sales and marketing activities necessary for successful product commercialization. Medicines, on average, take 10 to 15 years to be developed from the time they are discovered to the time they are available for treating patients. Consequently, any predictions you make about our future success or viability based on our short operating history to date may not be as accurate as they could be if we had a longer operating history.</w:t>
      </w:r>
    </w:p>
    <w:p>
      <w:pPr>
        <w:spacing w:after="0" w:line="16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We may in the future need to transition from a company with a research focus to a company capable of supporting commercial activities. We may not be successful in such a transition.</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will need to obtain substantial additional capital in connection with our continuing operations. Raising additional capital may cause dilution to our stockholders, restrict our operations or require us to relinquish rights to our technologies or product candidates.*</w:t>
      </w:r>
    </w:p>
    <w:p>
      <w:pPr>
        <w:spacing w:after="0" w:line="3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will need to raise additional capital in connection with our continuing operations. We expect to finance our cash needs through a combination of equity offerings and debt financings. In April 2016, we entered into the loan agreement with the lenders providing for up to $20.0 million in term loans. Under the terms of the loan agreement, the lenders have initially provided us with a term loan of $7.5 million, or Term A Loan, with an additional $12.5 million available at a certain specified time, or Term B Loan. In May 2017, the loan agreement was amended to extend the draw period on the Term B Loan to be between August 1, 2017 and October 31, 2017. Other than our term loan facility, we do not have any committed external source of funds.</w:t>
      </w:r>
    </w:p>
    <w:p>
      <w:pPr>
        <w:spacing w:after="0" w:line="193"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 January 2017, we entered into the ATM facility with Cowen, under which we may offer and sell, from time to time, shares of our common stock having an aggregate offering price of up to $25.0 million.</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the ownership interest of our stockholders will be diluted, and the terms of these securities may include liquidation or other preferences that adversely affect rights of our stockholders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While any amounts are outstanding under our term loan facility, we are subject to affirmative and restrictive covenants, including covenants regarding delivery of financial statements, maintenance of inventory, payment of taxes, maintenance of insurance, dispositions of property, business combinations or acquisitions, incurrence of additional indebtedness and transactions with affiliates,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both"/>
        <w:spacing w:after="0" w:line="291" w:lineRule="auto"/>
        <w:rPr>
          <w:sz w:val="20"/>
          <w:szCs w:val="20"/>
          <w:color w:val="auto"/>
        </w:rPr>
      </w:pPr>
      <w:r>
        <w:rPr>
          <w:rFonts w:ascii="Arial" w:cs="Arial" w:eastAsia="Arial" w:hAnsi="Arial"/>
          <w:sz w:val="16"/>
          <w:szCs w:val="16"/>
          <w:color w:val="auto"/>
        </w:rPr>
        <w:t>among other customary covenants. If we default under our term loan facility, the lenders may accelerate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declare a default under our term loan facility upon the occurrence of an event of default, which includes our failure to satisfy our payment obligations under the loan agreement, the breach of certain of our other covenants under the loan agreement or the occurrence of a material adverse change,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w:t>
      </w:r>
    </w:p>
    <w:p>
      <w:pPr>
        <w:spacing w:after="0" w:line="16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cannot be certain that additional funding will be available on acceptable terms, or at all. Subject to limited exceptions, our term loan facility also prohibits us from incurring indebtedness without the prior written consent of the lenders. If we are unable to raise additional funds when needed, we may be required to delay, limit, reduce or terminate our product development or future commercialization efforts.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discovery, preclinical and clinical development is focused on the development of targeted therapeutics for patients with genetically defined cancers, which is a rapidly evolving area of science, and the approach we are taking to discover and develop drugs may never lead to marketable products.*</w:t>
      </w:r>
    </w:p>
    <w:p>
      <w:pPr>
        <w:spacing w:after="0" w:line="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discovery and development of targeted drug therapeutics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The patient populations for our product candidates are not completely defined but are substantially smaller than the general treated cancer population, and patients will need to be screened and identified in order to be eligible for our therapies. Successful identification of patients is dependent on several factors, including achieving certainty as to how specific genetic alterations respond to our product candidates and developing companion diagnostics to identify such genetic alterations. Furthermore, even if we are successful in identifying patients, we cannot be certain that the resulting patient populations will be large enough to allow us to successfully commercialize our products and achieve profitability. Therefore, we do not know if our approach of treating patients with genetically defined cancers will be successful. If our approach is unsuccessful, our business will suffer.</w:t>
      </w:r>
    </w:p>
    <w:p>
      <w:pPr>
        <w:spacing w:after="0" w:line="3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research and development programs and product candidates are at an early stage of development. As a result we are unable to predict if or when we will successfully develop or commercialize our product candidates.*</w:t>
      </w:r>
    </w:p>
    <w:p>
      <w:pPr>
        <w:spacing w:after="0" w:line="6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Our clinical-stage product candidate, tipifarnib, as well as our other pipeline assets are at an early stage of development and will require significant investment and regulatory approvals prior to commercialization. We currently have no product candidates beyond Phase 2 clinical trials. We commenced a Phase 2 clinical trial of tipifarnib in advanced solid tumors with the HRAS mutation in May 2015, a Phase 2 clinical trial in PTCL in September 2015, a Phase 2 clinical trial in patients with MDS in May 2016 and a Phase 2 clinical trial in patients with CMML in October 2016. We commenced a Phase 1 clinical trial of our second product candidate KO-947 in April 2017, and KO-539, our development candidate for our menin-MLL program, is in preclinical development. Each of our product candidates will require clinical and preclinical development, management of clinical, preclinical and manufacturing activities, obtaining regulatory approval, obtaining manufacturing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In addition, our product development programs contemplate the development of companion diagnostics. Companion diagnostics are subject to regulation as medical devices and we may be required to obtain marketing approval for accompanying companion diagnostics before we may commercialize our product candidates.</w:t>
      </w:r>
    </w:p>
    <w:p>
      <w:pPr>
        <w:spacing w:after="0" w:line="18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cannot be certain that clinical development of tipifarnib, KO-947, or any of our other product candidates will be successful or that we will obtain regulatory approval or be able to successfully commercialize any of our product candidates and generate revenue. Success in preclinical testing and early clinical trials does not ensure that later clinical trials will be successful, and the clinical trial process may fail to demonstrate that our product candidates are safe and effective for their proposed uses. Any such failure could cause us to abandon further development of any one or more of our product candidates and may delay development of other product candidates. Product candidates in later stages of clinical trials may fail to show the desired safety and efficacy traits despite having progressed through preclinical studies and initial clinical trials. Tipifarnib has been studied in more than 5,000 oncology patients and was generally well tolerated and exhibited a manageable side effect profile. However, there is no guarantee that unacceptable side effects will not be identified at the various doses and schedules we are using or plan to use in our clinical trials of tipifarnib. In prior studies tipifarnib demonstrated anti-cancer activity in certain patient subsets. However, the anti-cancer activity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observed in those clinical trials was not sufficient to support marketing approval by the FDA in the indication in which it was sought. Although we are designing our clinical trials to target the patient subsets who we believe are most likely to benefit from treatment with tipifarnib, there is no guarantee that our clinical trials will be successful. A number of companies in the biopharmaceutical industry have suffered significant setbacks in advanced clinical trials due to lack of efficacy or adverse safety profiles, notwithstanding promising results in earlier clinical trials. Any delay in, or termination of, our clinical trials will delay and possibly preclude the filing of any new drug applications, or NDAs, with the FDA and, ultimately, our ability to commercialize our product candidates and generate product revenue.</w:t>
      </w:r>
    </w:p>
    <w:p>
      <w:pPr>
        <w:spacing w:after="0" w:line="19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have not previously submitted an NDA to the FDA, or similar drug approval filings to comparable foreign authorities, for any product candidate, and we cannot be certain that any of our product candidates will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our or our future collaborators’ ability to obtain regulatory approval of the companion diagnostics to be used with our product candidates, if required, as well as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Difficulty in enrolling patients could delay or prevent clinical trials of our product candidates. We may find it difficult to enroll patients in our clinical trials for tipifarnib.*</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trials if we encounter difficulties in enrollment.</w:t>
      </w:r>
    </w:p>
    <w:p>
      <w:pPr>
        <w:spacing w:after="0" w:line="18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In addition to the potentially small populations for our clinical trials of tipifarnib, the eligibility criteria of our clinical trials will further limit the pool of available study participants as we will require that patients have specific characteristics that we can measure or to assure their disease is either severe enough or not too advanced to include them in a study. Additionally, the process of finding and diagnosing patients may prove costly. We also may not be able to identify, recruit and enroll a sufficient number of patients to complete our clinical studies because of the perceived risks and benefits of the product candidate under study including the number and frequency of study required procedures and tests, the availability and efficacy of competing therapies and clinical trials, the proximity and availability of clinical study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19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Enrollment in our Phase 2 clinical trial of tipifarnib in patients with HRAS mutant SCCHN has proceeded more slowly than anticipated. We believe this may be primarily due to two factors. First, with the recent approvals in the United States of the immune-oncology agents nivolumab and pembrolizumab, many SCCHN patients are now being treated with one of these agents after failure of first line treatments such as chemotherapy and/or cetuximab. Nivolumab has also very recently received marketing approval in certain countries in the European Union. Second, many physicians who treat SCCHN patients do not routinely screen their patients for genetic mutations, such as HRAS, which we believe is because, to date, targeted therapies have not been available to treat SCCHN patients. To seek to address these issues, we are expanding the number of clinical sites in Europe and in the United States and are contracting with third party laboratories to facilitate the genetic screening of patients for our clinical sites. These efforts will result in an increase in costs for this Phase 2 clinical trial, and there is no guarantee that these efforts will be effective in accelerating enrollment in this clinical trial.</w:t>
      </w:r>
    </w:p>
    <w:p>
      <w:pPr>
        <w:spacing w:after="0" w:line="16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may be harmed, and our ability to generate product revenue from any of these product candidates could be delayed or prevented. In addition,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including:</w:t>
      </w:r>
    </w:p>
    <w:p>
      <w:pPr>
        <w:spacing w:after="0" w:line="85"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safety issues or adverse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our companion diagnostics in identifying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modifications to protocols of our clinical trials resulting from FDA or institutional review board, or IRB, decisions;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ambiguous or negative interim results of our clinical trials, or results that are inconsistent with earlier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product candidates.</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A key element of our strategy is to build a pipeline of small molecule product candidates that inhibit cancer signaling targets where we believe outcomes can be improved by using molecular diagnostics to identify those patients whose tumors have the genetic mutations most likely to respond to treatment, and to progress those product candidates through clinical development for the treatment of a variety of different types of cancer. We may not be able to develop product candidates that are safe and effective inhibitors of all or any of these targets. Even if we are successful in building a product pipeline, the potential product candidates that we identify may not be suitable for clinical development for a number of reasons, including causing harmful side effects or demonstrating other characteristics that indicate a low likelihood of receiving marketing approval or achieving market acceptance. If our methods of identifying potential product candidates fail to produce a pipeline of potentially viable product candidates, then our success as a business will be dependent on the success of fewer potential product candidates, which introduces risks to our business model and potential limitations to any success we may achieve.</w:t>
      </w:r>
    </w:p>
    <w:p>
      <w:pPr>
        <w:spacing w:after="0" w:line="2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8"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The risk of failure for our product candidates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and can take many years to complete, and its outcome is inherently uncertain. Failure can occur at any time during the clinical trial process. Further, the results of preclinical studies and early clinical trials of our product candidates may not be predictive of the results of subsequent clinical trials, and preliminary or interim results of a clinical trial do not necessarily predict final results. Results from clinical trials conducted at a single clinical site may not be predictive of results from additional clinical sites or from subsequent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For instance, the FDA previously issued a non-approval letter to Janssen Pharmaceutica NV, or Janssen, an affiliate of Johnson &amp; Johnson, for tipifarnib as a treatment for elderly, untreated acute myeloid leukemia in June 2005. It is impossible to predict when or if any of our product candidates will prove effective or safe in humans or will receive regulatory approval.</w:t>
      </w:r>
    </w:p>
    <w:p>
      <w:pPr>
        <w:spacing w:after="0" w:line="18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We may experience delays in our clinical trials and we do not know whether planned clinical trials will begin or enroll patients on time, need to be redesigned or be completed on schedule, if at all. If the FDA or IRBs have comments on our study plans for our clinical trials of tipifarnib or KO-947 that we are required to address, such studies may be delayed, or may not start at all. Clinical trials may be delayed, suspended or prematurely terminated at any time by us or by the FDA or other similar regulatory agency if it is determined at any time that patients may be or are being exposed to unacceptable health risks, including risk of death, or if compounds are not manufactured in compliance with current good manufacturing practice, or cGMP, regulations or with acceptable quality. There can be no assurance that the FDA will not put any of our product candidates on clinical hold in the future. We may experience numerous unforeseen events during, or as a result of, clinical trials that could delay or prevent our ability to receive marketing approval or commercialize our product candidates. Clinical trials may be delayed, suspended or prematurely terminated because costs are greater than we anticipate or for a variety of reasons, such as:</w:t>
      </w:r>
    </w:p>
    <w:p>
      <w:pPr>
        <w:spacing w:after="0" w:line="89"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generate sufficient preclinical, toxicology, or other in vivo or in vitro data to support the initiation or continuation of clinical trials;</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in reaching agreement with the FDA or a comparable foreign regulatory authority on a clinical trial design that we are able to execute;</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in obtaining authorization to commence a clinical trial or inability to comply with conditions imposed by a regulatory authority regarding the scope or design of a clinical trial;</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clinical trial sites;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delay, or failure in identifying and maintaining a sufficient number of clinical trial sites, many of which may already be engaged in other clinical programs;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in recruiting and enrolling suitable subjects to participate in a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in having subjects complete a clinical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in determining an acceptable dose and schedule for a product candidate in a clinical trial;</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sites and investigators deviating from clinical trial protocol, failing to conduct the clinical trial in accordance with regulatory requirements, or dropping out of a clinical trial;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left="1040" w:right="20" w:hanging="519"/>
        <w:spacing w:after="0" w:line="308"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lack of adequate funding to continue the clinical trial, including the incurrence of unforeseen costs due to enrollment delays, requirements to conduct additional clinical studies and increased expenses associated with the services of our CROs and other third parties;</w:t>
      </w:r>
    </w:p>
    <w:p>
      <w:pPr>
        <w:spacing w:after="0" w:line="38" w:lineRule="exact"/>
        <w:rPr>
          <w:rFonts w:ascii="Arial" w:cs="Arial" w:eastAsia="Arial" w:hAnsi="Arial"/>
          <w:sz w:val="17"/>
          <w:szCs w:val="17"/>
          <w:color w:val="auto"/>
        </w:rPr>
      </w:pPr>
    </w:p>
    <w:p>
      <w:pPr>
        <w:ind w:left="1040" w:hanging="519"/>
        <w:spacing w:after="0" w:line="308"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and we may decide, or regulators may require us, to redesign or modify our clinical trial protocols, conduct additional clinical trials or abandon product development programs;</w:t>
      </w:r>
    </w:p>
    <w:p>
      <w:pPr>
        <w:spacing w:after="0" w:line="38" w:lineRule="exact"/>
        <w:rPr>
          <w:rFonts w:ascii="Arial" w:cs="Arial" w:eastAsia="Arial" w:hAnsi="Arial"/>
          <w:sz w:val="17"/>
          <w:szCs w:val="17"/>
          <w:color w:val="auto"/>
        </w:rPr>
      </w:pPr>
    </w:p>
    <w:p>
      <w:pPr>
        <w:ind w:left="1040" w:hanging="519"/>
        <w:spacing w:after="0" w:line="308"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delays or difficulties in the enrollment of patients whose tumors harbor the specific genetic alterations that our product candidates are designed to target;</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difficulty partnering with experienced CROs that can screen for patients whose tumors harbor the applicable genetic alterations and run our clinical trials effectively;</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may be changes in governmental regulations or administrative actions.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clinical trials or tests are not positive or are only modestly positive or if there are safety concerns, we may:</w:t>
      </w:r>
    </w:p>
    <w:p>
      <w:pPr>
        <w:spacing w:after="0" w:line="73"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that would reduce the potential market for our products or inhibit our ability to successfully commercialize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subject to additional post-marketing restrictions and/or testing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We do not know whether any of our preclinical studies or clinical trials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advancing the clinical development of our product candidates, including tipifarnib.</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order to execute on our strategy of advancing the clinical development of our product candidates, we have designed our Phase 2 clinical trials of tipifarnib, and expect to design future clinical trials, to include patients whose tumors harbor the applicable molecular and/or genetic alterations that we believe contribute to particular cancer subsets. Our goal in doing this is to enroll patients who have the highest probability of responding to the drug, to show early and statistically significant evidence of clinical efficacy. If we are unable to identify genetic alterations, or biomarkers, that are predictive of response to our product candidates, or we are unable to include patients whose tumors harbor the applicable genetic alterations in our clinical trials, or if our product candidates fail to work as we expect, our ability to assess the therapeutic effect, seek participation in FDA expedited review and approval programs, including Breakthrough Therapy, Fast Track Designation, Priority Review and Accelerated Approval, or otherwise to seek to accelerate clinical development and regulatory timelines, could be compromised, resulting in longer development times, larger clinical trials and a greater likelihood of not obtaining regulatory approval. In addition, because the natural history of different tumor types is variable, we will need to study our product candidates, including tipifarnib, in clinical trials specific for a given tumor type and this may result in increased time and cost. Even if our product candidate demonstrates efficacy in a particular tumor type, we cannot guarantee that 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product candidate, including tipifarnib, will behave similarly in all tumor types, and we will be required to obtain separate regulatory approvals for each tumor type we intend a product candidate to treat. If any of our clinical trials are unsuccessful, our business will suffer.</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Preclinical and clinical testing of tipifarnib that has been conducted to date may not have been performed in compliance with applicable regulatory standards, which could lead to increased costs or material delays for their further development.</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licensed the rights to develop our lead product candidate, tipifarnib, from Janssen in December 2014, and the development of tipifarnib prior to our license was conducted wholly by Janssen or any third parties with which it had contracted. As a result, we were not involved with nor did we have any control over any of those development activities. Because we had no input on Janssen’s development activities relating to tipifarnib, we may discover that all or certain elements of the clinical trials and studies it performed have not been in compliance with applicable regulatory standards or have otherwise been deficient, particularly relative to current requirements as development of tipifarnib began in the 1990’s. Any such deficiency in the prior development of tipifarnib may adversely affect our ability to obtain regulatory approval for tipifarnib.</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may cause serious adverse events or have unacceptable side effects that could delay, limit or prevent their development.*</w:t>
      </w:r>
    </w:p>
    <w:p>
      <w:pPr>
        <w:spacing w:after="0" w:line="14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If our product candidates are associated with unacceptable side effects in preclinical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Tipifarnib has been studied in more than 5,000 oncology patients and was generally well tolerated and exhibited a manageable side effect profile. The most common hematologic adverse events of any grade were neutropenia (low white blood cell count), anemia and thrombocytopenia (low platelet count). The most common non-hematologic adverse events of any grade were gastrointestinal system disorders (nausea, anorexia, diarrhea and vomiting), fatigue and rash. Treatment discontinuation across the prior tipifarnib clinical studies has been in the range of approximately 20-25%. We are exploring a range of doses and dosing schedules in our ongoing Phase 2 clinical trials. The side effects observed so far in our ongoing Phase 2 clinical trials of tipifarnib have been generally consistent with the prior observations; however, there is no guarantee that additional or more severe side effects will not be identified through further clinical studies. Rights to develop tipifarnib in virology indications have been granted by Janssen to EB Pharma LLC, or EB Pharma, a subsidiary of Eiger BioPharmaceuticals. Undesirable side effects may be identified in clinical trials that EB Pharma may conduct in virology indications, which may negatively impact the development, commercialization or potential value of tipifarnib.</w:t>
      </w:r>
    </w:p>
    <w:p>
      <w:pPr>
        <w:spacing w:after="0" w:line="182"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recently initiated a Phase 1 clinical trial of KO-947 in patients with non-hematological malignancies, and it is likely that there may be side effects associated with its use in humans. Any observed drug-related side effects could affect patient recruitment or the ability of enrolled patients to complete the clinical trial or result in potential product liability claims. Additionally, if results of our clinical trials for tipifarnib, KO-947 or other product candidates reveal an unacceptable frequency and severity of serious adverse events or side effects, our trials could be suspended or terminated and the FDA or comparable foreign regulatory agencies could require us to cease further development of, or deny approval of, our product candidates for any or all targeted indications. Many compounds developed in the biopharmaceutical industry that initially showed promise in early-stage testing for treating cancer have later been found to cause side effects that prevented further development of those compounds. Any of these occurrences may harm our business, financial condition and prospects significantly.</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specific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discovery and preclinical development programs and product candidates for specific indications may not yield any commercially viable products.</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successfully validate, develop and obtain regulatory approval for companion diagnostics for our product candidates could harm our drug development strategy and operational results.</w:t>
      </w:r>
    </w:p>
    <w:p>
      <w:pPr>
        <w:spacing w:after="0" w:line="6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As one of the central elements of our business strategy and clinical development approach, we seek to screen and identify subsets of patients with a genetic alteration who may derive meaningful benefit from our product candidates. To achieve this, certain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17"/>
          <w:szCs w:val="17"/>
          <w:color w:val="auto"/>
        </w:rPr>
        <w:t>of our programs may be dependent on the development and commercialization of a companion diagnostic. We intend to partner development of companion diagnostics for use in clinical trials and, if successful, for commercialization of our product candidates. Companion diagnostics are developed in conjunction with clinical programs for the associated product and are subject to regulation as medical devices. Each agency that approves a product will independently need to approve the companion diagnostic before or concurrently with its approval of the product candidate, and before a product can be commercialized. The approval of a companion diagnostic as part of the product label will limit the use of the product candidate to only those patients who express the specific genetic alteration it was developed to detect. We may also experience delays in developing a sustainable, reproducible and scalable manufacturing process or transferring that process to commercial partners or negotiating insurance reimbursement plans, all of which may prevent us from completing our clinical trials or commercializing our products on a timely or profitable basis, if at all.</w:t>
      </w:r>
    </w:p>
    <w:p>
      <w:pPr>
        <w:spacing w:after="0" w:line="17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our Phase 2 clinical trial of tipifarnib in advanced cancers with HRAS mutations, patients are being enrolled based on information from the clinical sites on the patients’ tumor HRAS mutation status. Typically, this information is being obtained by the clinical sites from next-generation sequencing, or NGS, panels used by the site to characterize patients’ tumors. In some disease indications including HRAS mutant SCCHN, it is not routine to screen all patients. In such cases, we may facilitate screening at third party CROs. This may result in additional cost and longer timelines. We are contracting with third party laboratories to facilitate screening of patients in our HRAS mutant SCCHN clinical trial and expect to incur additional costs and longer timelines as a result. If the results of our Phase 2 clinical trials are positive and we validate our biomarker hypotheses in those clinical trials, we plan to partner development and validation of companion diagnostic tests to aid in the selection of patients in subsequent clinical trials of tipifarnib and to prepare and submit an investigational device exemption, or IDE, for use of the companion diagnostic in the clinical trial. Any delay or failure by us or our third-party collaborators to develop or obtain IDE approval for use of companion diagnostics in our clinical trials of tipifarnib could delay or prevent us from commencing or completing our clinical trials. We expect that the companion diagnostic tests will either be a qualitative polymerase chain reaction-based assay or an NGS-based assay. The results of NGS panels being currently used at sites may not be accurate or consistent across sites, and our development of tipifarnib or a companion diagnostic may be delayed or complicated by a change in assay methodology.</w:t>
      </w:r>
    </w:p>
    <w:p>
      <w:pPr>
        <w:spacing w:after="0" w:line="16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as medical devices and require separate clearance or approval prior to their commercialization. To date, the FDA has required premarket approval of all companion diagnostics for cancer therapies. 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 our product candidates.</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by us or our third-party collaborators to successfully commercialize companion diagnostics developed for use with our product candidates could harm our ability to commercialize these product candidates.</w:t>
      </w:r>
    </w:p>
    <w:p>
      <w:pPr>
        <w:spacing w:after="0" w:line="6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Even if we or our companion diagnostic collaborators successfully obtain regulatory approval for the companion diagnostics for our product candidates, our collaborators:</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not perform their obligations as expected;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may not pursue commercialization of companion diagnostics for our therapeutic product candidates that achieve regulatory approval;</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elect not to continue or renew commercialization programs based on changes in the collaborators’ strategic focus or available funding, or external factors, such as an acquisition, that divert resources or create competing priorities;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such product or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Additionally, we or our collaborators may encounter production difficulties that could constrain the supply of the companion diagnostics, affect the ease of use, affect the price or have difficulties gaining acceptance of the use of the companion diagnostics in the clinical community.</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If companion diagnostics for use with our product candidates fail to gain market acceptance, our ability to derive revenues from sales of our product candidates could be harmed. If we or our collaborators fail to commercialize these companion diagnostics, we may not be able to enter into arrangements with another diagnostic company to obtain supplies of an alternative diagnostic test for use in connection with our product candidates or do so on commercially reasonable terms, which could adversely affect and delay the development or commercialization of our product candidates.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contractors and organizations to conduct our clinical trials, and those third parties may not perform satisfactorily, including failing to meet deadlines for the completion of such clinical trials.</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rely on third party contractors, clinical data management organizations, independent contractors, medical institutions and clinical investigators to support our pre-clinical development activities and conduct our clinical trials, including our Phase 2 clinical trials of tipifarnib. These agreements may terminate for a variety of reasons, including a failure to perform by the third parties. If we are required to enter into alternative arrangements, our product development activities would be delayed.</w:t>
      </w:r>
    </w:p>
    <w:p>
      <w:pPr>
        <w:spacing w:after="0" w:line="18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compete with many other companies, some of which may be our competitors, for the resources of these third parties.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reliance on these third parties to conduct our clinical trials will reduce our control over these activities but will not relieve us of our responsibilities. For example, we will remain responsible for ensuring that each of our clinical trials is conducted in accordance with the general investigational plan and protocols for the clinical trial. Moreover, the FDA and other regulatory authorities require us to comply with good clinical practices for conducting, recording and reporting the results of clinical trials to assure that data and reported results are credible and accurate and that the rights, integrity and confidentiality of clinical trial participants are protected. We are also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Additionally, we rely substantially on third-party data managers for our clinical trial data. There is no assurance that these third parties will not make errors in the design, management or retention of our data or data systems. There is no assurance that these third parties will pass FDA or other regulatory audits, which could delay or prevent regulatory approval.</w:t>
      </w:r>
    </w:p>
    <w:p>
      <w:pPr>
        <w:spacing w:after="0" w:line="18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depend on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at an acceptable cost and quality, which could delay, prevent or impair our development or commercialization efforts.*</w:t>
      </w:r>
    </w:p>
    <w:p>
      <w:pPr>
        <w:spacing w:after="0" w:line="5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do not own or operate facilities for the manufacture of our product candidates, and we do not have any manufacturing personnel. We currently have no plans to build our own clinical or commercial scale manufacturing capabilities. We rely, and expect to continue to rely, on third parties, for the manufacture of clinical supplies of tipifarnib and our other product candidates for preclinical and clinical testing. We will rely on third parties as well 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 We also expect to rely on other third parties to store and distribute drug supplies for our clinical trials.</w:t>
      </w:r>
    </w:p>
    <w:p>
      <w:pPr>
        <w:spacing w:after="0" w:line="16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manufacture of pharmaceutical products is complex and requires significant expertise and capital investment, including the development of drug formulation and manufacturing techniques and process controls. Janssen has provided us with its existing inventory of crude drug substance and bulk key intermediate for manufacture of drug substance for tipifarnib. We have recently developed a modified drug product manufacturing process and a modified tablet formulation of tipifarnib which we plan to use in our ongoing Phase 2 clinical trials and in any future clinical trials of tipifarnib. We have conducted pre-clinical studies to evaluate the relative bioavailability and compare other pharmaceutical properties of the original tablets and the modified tablets. However, we cannot be certain that in our clinical studies we will not observe differences between the tablets which could impact clinical outcomes</w:t>
      </w:r>
      <w:r>
        <w:rPr>
          <w:rFonts w:ascii="Arial" w:cs="Arial" w:eastAsia="Arial" w:hAnsi="Arial"/>
          <w:sz w:val="17"/>
          <w:szCs w:val="17"/>
          <w:color w:val="1F497D"/>
        </w:rPr>
        <w:t>.</w:t>
      </w:r>
      <w:r>
        <w:rPr>
          <w:rFonts w:ascii="Arial" w:cs="Arial" w:eastAsia="Arial" w:hAnsi="Arial"/>
          <w:sz w:val="17"/>
          <w:szCs w:val="17"/>
          <w:color w:val="auto"/>
        </w:rPr>
        <w:t xml:space="preserve"> Manufacturers of active pharmaceutical ingredients and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are discovered in our products or in the manufacturing facilities in which our products are made, such manufacturing facilities may need to be closed for an extended period of time to investigate and remedy the contamination.</w:t>
      </w:r>
    </w:p>
    <w:p>
      <w:pPr>
        <w:spacing w:after="0" w:line="170"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If we are unable to develop formulations of our product candidates with acceptable stability and sterility characteristics, or experience an unexpected delay or loss of supply of any of our product candidates for any reason, whether as a result of manufacturing, supply or storage issues or otherwise, our business may be harmed and we may experience delays, disruptions, suspensions or terminations of, or we may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to the extent that we are required to have fresh product candidate supplies manufactured to satisfy regulatory requirements or specifications. Any significant delay or discontinuation in the supply of a product candidate, or the raw material components thereof, due to the need to replace a supplier, contract manufacturer or other third-party manufacturer, could considerably harm our business and delay completion of our clinical trials, product testing and potential regulatory approval of our product candidates. Any performance failure on the part of our existing or future manufacturers, suppliers or distributors could delay clinical development or marketing approval of our product candidates or commercialization of our products, producing additional losses and depriving us of potential product revenue.</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71"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6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Our product candidates must be approved by the FDA pursuant to an NDA in the United States and by the European Medicines Agency, or EMA, and similar regulatory authorities outside the United States prior to commercialization.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jurisdiction. We have no experience in filing and supporting the applications necessary to gain marketing approvals and expect to rely on third-party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jc w:val="both"/>
        <w:ind w:right="20" w:firstLine="518"/>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benefit from available regulatory exclusivity periods if another company obtains regulatory approval for tipifarnib before we do.*</w:t>
      </w:r>
    </w:p>
    <w:p>
      <w:pPr>
        <w:spacing w:after="0" w:line="15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As the composition of matter patents covering tipifarnib expired in the United States and in countries in Europe in 2016 and we have only one issued U.S. patent directed to one of our potential tipifarnib indications, our commercial strategy for tipifarnib relies on obtaining other patents related to tipifarnib and on non-patent regulatory exclusivity. In the United States, a pharmaceutical manufacturer may obtain five years of non-patent exclusivity upon FDA approval of an NDA for a new chemical entity, which is a drug that contains an active moiety that has not been approved by the FDA in any other NDA. An “active moiety” is defined as the molecule or ion responsible for the drug substance’s physiological or pharmacologic action. During the five-year exclusivity period, the FDA cannot accept for filing any abbreviated new drug application seeking approval of a generic version of that drug or any Section 505(b)(2) NDA for the same active moiety and that relies on the FDA’s findings regarding that drug, except that the FDA may accept an application for filing after four years if the follow-on applicant makes a paragraph IV certification. EB Pharma has licensed rights from Janssen to develop tipifarnib in virology indications. If EB Pharma obtains regulatory approval for tipifarnib in a virology indication before we obtain regulatory approval in one of our oncology or other non-virology indications, the five-year exclusivity period would commence on the date upon which EB Pharma obtains regulatory approval, and as a result, the period of regulatory exclusivity to which we may be entitled may be reduced or eliminated and the commercial prospects for tipifarnib would be harmed as a result.</w:t>
      </w:r>
    </w:p>
    <w:p>
      <w:pPr>
        <w:spacing w:after="0" w:line="18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Additionally, if EB Pharma obtains approval of tipifarnib for a virology indication, EB Pharma may sell tipifarnib at a lower price, which could adversely affect the price at which we could sell tipifarnib for oncology or other non-virology indications.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exclusivity for the product candidates for which we seek it, which could limit the potential profitability of such product candidates.</w:t>
      </w:r>
    </w:p>
    <w:p>
      <w:pPr>
        <w:spacing w:after="0" w:line="6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Generally, if a product with an orphan drug designation subsequently receives the first marketing approval for the indication for which it receives the designation, then the product is entitled to a period of marketing exclusivity that precludes the applicable regulatory authority from approving another marketing application for the same drug for the same indication during the exclusivity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if the manufacturer is unable to assure sufficient quantity of the drug to meet the needs of patients with the rare disease or condition.</w:t>
      </w:r>
    </w:p>
    <w:p>
      <w:pPr>
        <w:spacing w:after="0" w:line="16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intend to pursue an orphan drug designation for at least some of our product candidates, including tipifarnib. However, obtaining an orphan drug designation can be difficult, and we may not be successful in doing so for any of our product candidates. Even if we were to obtain orphan drug exclusivity for a product candidate, that exclusivity may not effectively protect the product from the competition of different drugs for the same condition, which could be approved during the exclusivity period. Additionally, after an orphan drug is approved, the FDA could subsequently approve another application for the same drug for the same condition if the FDA concludes that the later drug is shown to be safer, more effective or makes a major contribution to patient care. The failure to obtain an orphan drug designation for any product candidates we may develop for the treatment of rare cancers, and/or the inability to maintain that designation for the duration of the applicable exclusivity period, could reduce our ability to make sufficient sales of the applicable product candidate to balance our expenses incurred to develop it, which would have a negative impact on our operational results and financial condition.</w:t>
      </w:r>
    </w:p>
    <w:p>
      <w:pPr>
        <w:spacing w:after="0" w:line="16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If we obtain an orphan drug designation and FDA approval of tipifarnib for an oncology indication, we would be entitled to seven years of marketing exclusivity for that orphan drug indication. However, if a competitor obtained approval of a generic form of tipifarnib for another indication, physicians would not be prevented from prescribing the generic drug for the orphan indication during the period of marketing exclusivity. Such prescribing practices could adversely affect the sales of tipifarnib for the orphan indication.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 Fast Track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3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do not currently have Fast Track Designation for any of our product candidates but intend to seek Fast Track Designation if our clinical data supports such a designation. If a drug is intended for the treatment of a serious or life-threatening condition and the drug demonstrates the potential to address unmet medical needs for this condition, the drug sponsor may apply for the FDA Fast Track Designation. The FDA has broad discretion whether to grant this designation. Even if we believe a specific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Many drugs that have received Fast Track Designation have failed to obtain drug approval.</w:t>
      </w:r>
    </w:p>
    <w:p>
      <w:pPr>
        <w:spacing w:after="0" w:line="28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3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do not currently have Breakthrough Therapy Designation for any of our product candidates, but we may seek such designation.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w:t>
      </w:r>
    </w:p>
    <w:p>
      <w:pPr>
        <w:spacing w:after="0" w:line="15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after completing early clinical trials, that one of our product candidates meets the criteria for designation as a Breakthrough Therapy, the FDA may disagree and instead determine not to make such designation. However, the reduced timelines may introduce significant chemistry, manufacturing and controls challenges for product development.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such designations.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order to market and sell our products in the European Union and many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2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5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testing, manufacture, recordkeeping, labeling, storage, approval, advertising, promotion, sale and distribution, are subject to comprehensive regulation by FDA and other regulatory authorities. These requirements include, without limitation, submissions of safety and other post-marketing information and reports, registration and listing requirements, cGMP requirements relating to manufacturing, quality control, quality assurance and corresponding maintenance of records and documents, including periodic inspections by the FDA and other regulatory authorities, requirements regarding the distribution of samples to physicians, tracking and reporting of payments to physicians and other healthcare providers, and recordkeeping.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jc w:val="both"/>
        <w:ind w:firstLine="518"/>
        <w:spacing w:after="0" w:line="27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we may be subject to enforcement action for off-label promotion. Violations of the Federal Food, Drug and Cosmetic Act relating to the promotion of prescription drugs may lead to investigations alleging violations of federal and state healthcare fraud and abuse laws, as well as state consumer protection laws.</w:t>
      </w:r>
    </w:p>
    <w:p>
      <w:pPr>
        <w:spacing w:after="0" w:line="17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62"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and our general business operations will be subject to applicable anti-kickback, fraud and abuse and other healthcare laws and regulations, which could expose us to criminal sanctions, civil penalties, contractual damages, reputational harm and diminished profits and future earnings, among other penalties.</w:t>
      </w:r>
    </w:p>
    <w:p>
      <w:pPr>
        <w:spacing w:after="0" w:line="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Healthcare providers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0" w:lineRule="exact"/>
        <w:rPr>
          <w:sz w:val="20"/>
          <w:szCs w:val="20"/>
          <w:color w:val="auto"/>
        </w:rPr>
      </w:pPr>
    </w:p>
    <w:p>
      <w:pPr>
        <w:jc w:val="both"/>
        <w:ind w:left="1040" w:hanging="519"/>
        <w:spacing w:after="0" w:line="259"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among other things, executing a scheme to defraud any healthcare benefit program or making false statements relating to healthcare matters;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both"/>
        <w:ind w:left="1040" w:hanging="519"/>
        <w:spacing w:after="0" w:line="259"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implementing regulations, also imposes obligations, including mandatory contractual terms, with respect to safeguarding the privacy, security and transmission of protected health information on covered entities and their business associates that create, receive, maintain, or transmit protected health information in connection with providing a service for or on behalf of a covered entity;</w:t>
      </w:r>
    </w:p>
    <w:p>
      <w:pPr>
        <w:spacing w:after="0" w:line="78"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certain drugs, devices, biologics, and medical supplies for which payment is available under Medicare, Medicaid, or the Children’s Health Insurance Program, with specific exceptions, to report annually to the Centers for Medicare &amp; Medicaid Services, or CMS, information related to payments and other transfers of value to physicians and teaching hospitals, as well as certain manufacturers and group purchasing organizations to report annually ownership and investment interests held by physicians or their immediate family; and</w:t>
      </w:r>
    </w:p>
    <w:p>
      <w:pPr>
        <w:spacing w:after="0" w:line="80" w:lineRule="exact"/>
        <w:rPr>
          <w:rFonts w:ascii="Arial" w:cs="Arial" w:eastAsia="Arial" w:hAnsi="Arial"/>
          <w:sz w:val="18"/>
          <w:szCs w:val="18"/>
          <w:color w:val="auto"/>
        </w:rPr>
      </w:pPr>
    </w:p>
    <w:p>
      <w:pPr>
        <w:jc w:val="both"/>
        <w:ind w:left="1040" w:hanging="519"/>
        <w:spacing w:after="0" w:line="34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as amended by the Health Care and Education Reconciliation Act, or collectively the ACA, a sweeping law intended to broaden access to health insurance, improve quality,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the provisions of the ACA of importance to our potential product candidates and our business are the following:</w:t>
      </w:r>
    </w:p>
    <w:p>
      <w:pPr>
        <w:spacing w:after="0" w:line="117"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new requirement to annually report information regarding drug samples that manufacturers and distributors provide to physicians; and</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Some of the provisions of the ACA have yet to be fully implemented, while certain provisions have been subject to judicial and Congressional challenges, which has resulted in action to repeal or replace certain aspects of the ACA. For example,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U.S. House of Representatives passed legislation known as the American Health Care Act of 2017 in May 2017. More recently, the Senate Republicans have released and then updated a draft bill known as the Better Care Reconciliation Act of 2017. Each of these Congressional proposals would repeal and replace certain aspects of the ACA if ultimately enacted. The Senate Republicans have also contemplated legislation to repeal the ACA without companion legislation to replace it. The prospects for enactment of these legislative initiatives remain uncertain. Further, Congress also could consider other legislation to replace elements of the ACA. We continue to evaluate the effect that the ACA and its possible repeal and replacement has on our business.</w:t>
      </w:r>
    </w:p>
    <w:p>
      <w:pPr>
        <w:spacing w:after="0" w:line="178"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up to 2% per fiscal year, starting in 2013, that due to subsequent legislative amendments, will stay in effect through 2025 unless additional Congressional action is taken. In January 2013, President Obama signed into law the American Taxpayer Relief Act of 2012, which, among other things, reduced Medicare payments to certain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Further, recently there has been heightened governmental scrutiny over the manner in which manufacturers set prices for their marketed products. For example, there have been several recent U.S. Congressional inquiries and proposed bills designed to, among other things, bring more transparency to drug pricing, review the relationship between pricing and manufacturer patient programs, reduce the cost of drugs under Medicare, and reform government program reimbursement methodologies for drug products.</w:t>
      </w:r>
    </w:p>
    <w:p>
      <w:pPr>
        <w:spacing w:after="0" w:line="16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expect that healthcare reform measures that have been adopted and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for our products is unavailable or limited in scope or amount, or if pricing is set at unsatisfactory levels, our business could be harmed, possibly materially.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discovery, preclinical development or production efforts. Our failure to comply with these laws and regulations also may result in substantial fines, penalties or other sanctions.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like chemotherapy and radiation therapy are well established in the medical community, and doctors may continue to rely on these treatments to the exclusion of our product candidates. In addition, physicians, patients and third-party payors may prefer other novel products to ours, such as the recently approved immune-oncology therapies, in which there is increasing awareness and interest.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1"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and potential advantages and disadvantages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our marketing and distribution support;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availability of third-party coverage and adequate reimbursement, including patient cost-sharing programs such as copays and deductibles;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or partner with third-party collaborators to develop companion diagnostics;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force. If we are unable to establish effective sales or marketing capabilities or enter into agreements with third parties to sell or market our product candidates if they obtain regulatory approval, we may not be able to effectively sell or market our product candidates, if approved, or generate product revenues.</w:t>
      </w:r>
    </w:p>
    <w:p>
      <w:pPr>
        <w:spacing w:after="0" w:line="7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intend to establish an internal sales or marketing team with technical expertise and supporting distribution capabilities to commercialize our product candidates, which will be expensive and time consuming and will require significant attention of our executive officers to manage. Any failure or delay in the development of our internal sales, marketing and distribution capabilities would adversely impact the commercialization of any of our products that we obtain approval to market. With respect to the commercialization of all or certain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6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9"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Specifically, there are a large number of companies developing or marketing treatments for cancer, including many major pharmaceutical and biotechnology companies, which may directly compete with tipifarnib, KO-947, KO-539 and any other future product candidates.</w:t>
      </w:r>
    </w:p>
    <w:p>
      <w:pPr>
        <w:spacing w:after="0" w:line="14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and or slow our regulatory approval. In addition, our ability to compete may be affected in many cases by insurers or other third-party payors seeking to encourage the use of generic products. Generic products are currently on the market for the indications that we are pursuing, and additional products are expected to become available on a generic basis over the coming years. If our product candidates achieve marketing approval, we expect that they will be priced at a significant premium over competitive generic products.</w:t>
      </w:r>
    </w:p>
    <w:p>
      <w:pPr>
        <w:spacing w:after="0" w:line="17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coverage and adequate reimbursement for new or current products could limit our ability to market those products and decrease our ability to generate revenue.</w:t>
      </w:r>
    </w:p>
    <w:p>
      <w:pPr>
        <w:spacing w:after="0" w:line="16"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The availability and extent of coverage and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6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medicines are typically made by the CMS, an agency within the U.S. Department of Health and Human Services, as CMS decides whether and to what extent a new medicine will be covered and reimbursed under Medicare. Private payors often, but not always, follow CMS’s decisions regarding coverage and reimbursement. It is difficult to predict what CMS will decide with respect to coverage and reimbursement for fundamentally novel products such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auto"/>
        </w:rPr>
        <w:t>ours, as there is no body of established practices and precedents for these new products. One payor’s determination to provide coverage for a drug product does not assure that other payors will also provide coverage for the drug product. Further, a payor’s decision to provide coverage for a drug product does not imply that an adequate reimbursement rate will be approved.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w:t>
      </w:r>
    </w:p>
    <w:p>
      <w:pPr>
        <w:spacing w:after="0" w:line="18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Reimbursement agencies in Europe may be more conservative than CMS. For example, a number of cancer drugs have been approved for reimbursement in the United States and have not been approved for reimbursement in certain European countries. 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to CMS and private payors, professional organizations such as the National Comprehensive Cancer Network and the American Society of Clinical Oncology can influence decisions about reimbursement for new medicines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products that we may develop.</w:t>
      </w:r>
    </w:p>
    <w:p>
      <w:pPr>
        <w:spacing w:after="0" w:line="14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clinical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Our current product liability insurance coverage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spacing w:after="0" w:line="7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We intend to rely upon a combination of regulatory exclusivity periods, patents, trade secret protection, confidentiality agreements, and license agreements to protect the intellectual property related to our current product candidates and development programs. If the breadth or strength of protection provided by any patents, patent applications or future patents we may own, license, or pursue with respect to any of our current or future product candidates or products is threatened, it could threaten our ability to commercialize any of our current or future product candidates or products. Further, if we encounter delays in our development efforts, the period of time during which we could market any of our current or future product candidates or products under any patent protection we obtain would be reduced. Given the amount of time required for the development, testing and regulatory review of new product candidates or products, patents protecting such candidates might expire before or shortly after such product candidates or products are commercialized.</w:t>
      </w:r>
    </w:p>
    <w:p>
      <w:pPr>
        <w:spacing w:after="0" w:line="167"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Our patent rights may not protect our patent protected products and product candidates if competitors devise ways of making products that compete with us without legally infringing our patent rights. For example, our patent rights in tipifarnib are limited in ways that affect our ability to exclude third parties from competing against us. In particular, the patent term for the composition of matter patents covering the API of tipifarnib expired in the United States and countries in Europe in 2016. Composition of matter patents on APIs are generally considered to be the strongest form of intellectual property protection because such patents provide protection without regard to any particular method of use or manufacture or formulation of the API used. In July 2017, the U.S. Patent and Trademark Office, or U.S. PTO, issued us a patent directed to the use of tipifarnib in certain patients with HRAS mutant SCCHN. Although this patent is currently in force, there is no guarantee that a court would agree that the patent is valid or enforceable. Further, if a competitor were to develop tipifarnib for use in an indication other than that claimed by the patent, we would not be able to prevent them from marketing tipifarnib in the U.S. or other jurisdictions based on the patent. We are pursuing additional U.S. and foreign method of use patents for tipifarnib, however there is no guarantee that any such patents will be granted. In April 2017, the U.S. PTO issued us a patent covering the composition of matter of KO-947 and certain structurally related compounds, and methods of using the compounds for the treatment of cancers. We are pursuing additional U.S. and foreign patents for KO-947, however there is no guarantee that any such patents will be granted. Patent term extension may be available in the United States to account for regulatory delays in obtaining human marketing approval for a product candidate; however, only one patent may be extended per marketed compound. Under our license agreement with Janssen, we and Janssen agree to cooperate in obtaining available patent term extensions. We and Janssen may not reach agreement and no patent term extension may be obtained. Additionally, the applicable authorities, including the U.S. PTO and the FDA, and any equivalent regulatory authority in other countries, may not agree with our assessment of whether such extensions are available, and may refuse to grant extensions to patents, or may grant more limited extensions than requested. If this occurs, our competitors who obtain the requisite regulatory approval can offer products with the same API as tipifarnib so long as the competitors do not infringe any method of use patents that we may hold. Competitors may take advantage of our investment in development and clinical trials by referencing our clinical and preclinical data and launch their product earlier than might otherwise be the case.</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expect that following expiration of patents and any regulatory exclusivity we are able to obtain, competitors may manufacture and sell generic versions of tipifarnib, at a lower price, which would reduce tipifarnib’s revenues. In certain jurisdictions, legislation mandates generic substitution for brand name drugs.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licensors to prosecute and maintain patents and patent applications that are material to our business. Any failure by our licensors to effectively protect these intellectual property rights could adversely impact our business and operations.</w:t>
      </w:r>
    </w:p>
    <w:p>
      <w:pPr>
        <w:spacing w:after="0" w:line="6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have licensed patent rights from third parties for some of our development programs, including tipifarnib from Janssen and compounds in our menin-MLL program from the Regents of The University of Michigan. As a licensee of third parties, we rely on these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jc w:val="both"/>
        <w:ind w:firstLine="518"/>
        <w:spacing w:after="0" w:line="297" w:lineRule="auto"/>
        <w:rPr>
          <w:sz w:val="20"/>
          <w:szCs w:val="20"/>
          <w:color w:val="auto"/>
        </w:rPr>
      </w:pPr>
      <w:r>
        <w:rPr>
          <w:rFonts w:ascii="Arial" w:cs="Arial" w:eastAsia="Arial" w:hAnsi="Arial"/>
          <w:sz w:val="16"/>
          <w:szCs w:val="16"/>
          <w:color w:val="auto"/>
        </w:rPr>
        <w:t>With respect to the patent portfolio for tipifarnib, which is in-licensed from Janssen, Janssen maintains rights to prosecute and maintain patents and patent applications within the portfolio as well as to assert such patents against infringers within and outside the scope of our license, and to defend such patents against claims of invalidity and unenforceability. Although we have rights to consult with Janssen on actions taken as well as back-up rights of prosecution and enforcement, rights to tipifarnib granted to another licensee, such as EB Pharma, could potentially influence Janssen’s interests in the exercise of its prosecution, maintenance and enforcement rights in a manner that may favor the interests of such other licensee as compared with us.</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breach any of the agreements under which we license from third parties the commercialization rights to our product candidates, we could lose license rights that are important to our business and our operations could be materially harmed.</w:t>
      </w:r>
    </w:p>
    <w:p>
      <w:pPr>
        <w:spacing w:after="0" w:line="6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have in-licensed from Janssen the use, development and commercialization rights in all indications other than virology, for our lead product candidate, tipifarnib. We have also in-licensed rights to potential product candidates in other programs in our pipeline. As a result, our current business plans are dependent upon our satisfaction of certain conditions to the maintenance of the Janssen agreement and the rights we license under it and our other in-license agreements. The Janssen license agreement provides that we are subject to diligence obligations relating to the commercialization and development of tipifarnib, milestone payments, royalty payments and other obligations. If we fail to comply with any of the conditions or obligations or otherwise breach the terms of our license agreement with Janssen, or any of our other license agreements or license agreements we may enter into on which our business or product candidates are dependent, Janssen or other licensors may have the right to terminate the applicable agreement in whole or in part and thereby extinguish our rights to the licensed technology and intellectual property and/or any rights we have acquired to develop and commercialize certain product candidates, including, with respect to our license agreement with Janssen, tipifarnib. The loss of the rights licensed to us under our license agreement with Janssen, or our other license agreements or any future license agreement that we may enter granting us rights on which our business or product candidates are dependent, would eliminate our ability to further develop the applicable product candidates and would materially harm our business, prospects, financial condition and results of operations.</w:t>
      </w: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patent applications of pharmaceutical and biotechnology companies involve highly complex legal and factual questions, which, if determined adversely to us, could negatively impact our patent position.</w:t>
      </w:r>
    </w:p>
    <w:p>
      <w:pPr>
        <w:spacing w:after="0" w:line="13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India and China do not allow patents for methods of treating the human body.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7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 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Moreover, we may be subject to a third-party preissuance submission of prior art to the U.S. 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both"/>
        <w:ind w:firstLine="518"/>
        <w:spacing w:after="0" w:line="257" w:lineRule="auto"/>
        <w:rPr>
          <w:sz w:val="20"/>
          <w:szCs w:val="20"/>
          <w:color w:val="auto"/>
        </w:rPr>
      </w:pPr>
      <w:r>
        <w:rPr>
          <w:rFonts w:ascii="Arial" w:cs="Arial" w:eastAsia="Arial" w:hAnsi="Arial"/>
          <w:sz w:val="18"/>
          <w:szCs w:val="18"/>
          <w:color w:val="auto"/>
        </w:rPr>
        <w:t>Even if our owned and licensed patent applications issue as patents, they may not issue in a form that will provide us with any meaningful protection, prevent competitors from competing with us or otherwise provide us with any competitive advantage. Even if our owned and licensed patents might provide such protection or competitive advantage, we may not have the resources to effectively enforce our rights under such patents, which can be expensive and time-consuming. Further, our competitors may be able to circumvent our owned or licensed patents by developing similar or alternative technologies or products in a non-infringing manner.</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 PTO and various governmental patent agencies outside of the United States in several stages over the lifetime of the patents and/or applications. We have systems in place to remind us to pay these fees, and we employ an outside firm and rely on our outside counsel to pay these fees due to non-U.S. patent agencies. The U.S. 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Because competition in our industry is intense, competitors may infringe or otherwise violate our issued patents, patents of our licensors or other intellectual property.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products and technology, including interference or derivation proceedings before the U.S. PTO. Third parties may assert infringement claims against us based on existing patents or patents that may be granted in the future.</w:t>
      </w:r>
    </w:p>
    <w:p>
      <w:pPr>
        <w:spacing w:after="0" w:line="1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for our development pipeline through acquisitions and in-licenses.</w:t>
      </w:r>
    </w:p>
    <w:p>
      <w:pPr>
        <w:spacing w:after="0" w:line="12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Presently we have rights to intellectual property under an exclusive license from Janssen, to develop tipifarnib in all fields other than virology, and an exclusive worldwide license from Memorial Sloan Kettering Cancer Center to a patent family pertaining to a method of use of tipifarnib, as well as an exclusive worldwide license for all therapeutic indications for certain compounds in our other programs, including in our menin-MLL program. Because our programs may involve additional product candidates that may require the use of proprietary rights held by third parties, the growth of our business may depend in part on our ability to acquire, in-license or use these proprietary rights. Additionally, a companion diagnostic may require that we or a third-party collaborator developing the diagnostic acquire proprietary rights held by third parties, which may not be available. We may be unable to acquire or in-license any compositions, methods of use, or other third-party intellectual property rights from third parties that we identify.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For example, we may collaborate with U.S. and foreign academic institutions to accelerate our discovery and preclinical development work under written agreements with these institutions. Typically, these institutions provide us with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us.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seek to protect our confidential proprietary information, in part, by entering into confidentiality and invention or patent assignment agreements with our employees and consultants, however, we cannot be certain that such agreements have been entered into with all relevant parties. Moreover, to the extent we enter into such agreements,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Macroeconomic Conditions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have a limited number of employees, are highly dependent on our Chief Executive Officer and our future success depends on our ability to retain key executives and to attract, retain and motivate qualified personnel.*</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are an early-stage clinical development company with a limited operating history, and, as of June 30, 2017, we had only 30 employees. We are highly dependent on the expertise of Troy E. Wilson, Ph.D., J.D., our President and Chief Executive Officer, Antonio Gualberto, M.D., Ph.D., our Chief Medical Officer, and Pingda Ren, Ph.D., our Senior Vice President, Chemistry and Pharmaceutical Sciences, as well as the other principal members of our management, scientific and clinical teams. Although we have entered into employment letter agreements with our executive officers, each of them may terminate their employment with us at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both"/>
        <w:spacing w:after="0" w:line="312" w:lineRule="auto"/>
        <w:rPr>
          <w:sz w:val="20"/>
          <w:szCs w:val="20"/>
          <w:color w:val="auto"/>
        </w:rPr>
      </w:pPr>
      <w:r>
        <w:rPr>
          <w:rFonts w:ascii="Arial" w:cs="Arial" w:eastAsia="Arial" w:hAnsi="Arial"/>
          <w:sz w:val="16"/>
          <w:szCs w:val="16"/>
          <w:color w:val="auto"/>
        </w:rPr>
        <w:t>time. We do not maintain “key person” insurance for any of our executives or other employees. Additionally, Dr. Wilson currently also serves as President and Chief Executive Officer of Avidity Biosciences, LLC. As a result, Dr. Wilson is not able to devote all of his business time and attention to our business. Conflicts may arise in the future if there are competing demands on Dr. Wilson’s time and attention and our business may be harmed as a result.</w:t>
      </w:r>
    </w:p>
    <w:p>
      <w:pPr>
        <w:spacing w:after="0" w:line="14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discovery and preclinical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regulatory affairs and commercial,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our ability to raise additional capital when needed on acceptable terms, if at all. This is particularly true in Europe, which is undergoing a continued severe economic crisis.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7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United Kingdom’s referendum to leave the European Union or “Brexit,” has and may continue to cause disruptions to capital and currency markets worldwide. The full impact of the Brexit decision, however, remains uncertain. A process of negotiation will determine the future terms of the United Kingdom’s relationship with the European Union. During this period of negotiation, our results of operations and access to capital may be negatively affected by interest rate, exchange rate and other market and economic volatility, as well as regulatory and political uncertainty. Brexit may also have a detrimental effect on our customers, distributors and suppliers, which would, in turn, adversely affect our financial condition.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collaborators and third-parties on whom we rely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we may incur substantial costs to attempt to recover or reproduce the data. If any disruption or security breach resulted in a loss of or damage to our data or applications, or inappropriate disclosure of confidential or proprietary information, we could incur liability and/or the further development of our product candidates could be delayed.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natural disasters, power loss, terrorist activity and other events beyond our control, the occurrence of which could materially harm our business.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Businesses located in California have, in the past, been subject to electrical blackouts as a result of a shortage of available electrical power, and any future blackouts could disrupt our operations. We are vulnerable to a major earthquake, wildfire and other natural disasters, and we have not undertaken a systematic analysis of the potential consequences to our business as a result of any such natural disaster and do not have an applicable recovery plan in place. We do not carry any business interruption insurance that would compensate us for actual losses from interruption of our business that may occur, and any losses or damages incurred by us could cause our business to materially suffer.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fluctuate significantly and you may have difficulty selling your shares based on current trading volumes of our stock.*</w:t>
      </w:r>
    </w:p>
    <w:p>
      <w:pPr>
        <w:spacing w:after="0" w:line="129"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Our common stock has been listed on the Nasdaq Global Select Market under the symbol “KURA” since November 5, 2015. From September 16, 2015 through November 4, 2015, our common stock was quoted for trading on the OTC Markets—OTCQB tier, or OTCQB, in very limited volume under the symbol “KURO.” Prior to September 16, 2015, our common stock was not publicly-traded. The high and low price per share of our common stock as reported by Nasdaq during the period from November 5, 2015 until June 30, 2017, were $12.10 and $2.50, respectively. The high and low bid quotations per share of our common stock as reported by the OTCQB during the period from September 16, 2015 through November 4, 2015 were $25.00 and $10.00, respectively. We cannot predict the extent to which investor interest in our company will sustain an active trading market on the Nasdaq Global Select Market or any other exchange in the future. We have several stockholders, including affiliated stockholders, who hold substantial blocks of our stock. Sales of large numbers of shares by any of our large stockholders could adversely affect our trading price, particularly given our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an active trading market is not sustained or if the volume of trading is limited, holders of our common stock may have difficulty selling their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may be influenced by numerous factors, some of which are beyond our control.</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market for our common stock could fluctuate substantially due to a variety of factors, some of which may be beyond our control. In addition to the factors discussed in this “Risk Factors” section and elsewhere in this report, these factors include:</w:t>
      </w:r>
    </w:p>
    <w:p>
      <w:pPr>
        <w:spacing w:after="0" w:line="62"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product candidates we seek to pursue, and our ability to obtain rights to develop, commercialize and market those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adverse results or delays in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any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 candidates, including without limitation clinical trial requirements for approvals;</w:t>
      </w:r>
    </w:p>
    <w:p>
      <w:pPr>
        <w:spacing w:after="0" w:line="12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and other proprietary rights and our ability to obtain patent protection for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dependence on third parties, including CROs as well as our potential partners that produce companion diagnostic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meet or exceed any financial guidance or expectations regarding development milestones that we may provide to the public;</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 liquidity or other indicators of our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meet or exceed the estimates and projections of the investment community;</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performance of the equity markets and other factors that may be unrelated to our operating performance or the operating performance of our competitors, including changes in market valuations of similar companies;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conditions or trends in the biotechnology and biopharmaceutical industries;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 of new products offered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manage such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issuances of debt or equity securities;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or the perception that such sales could occur;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ineffectiveness of our internal control over financial reporting or disclosure controls and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political and economic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effects of natural or man-made catastrophic events;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the stock market in general, and the stocks of small-cap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These events may also lead to securities litigation, which can be expensive and time-consuming to defend, regardless of the merit or outcome. The realization of any of the above risks or any of a broad range of other risks, including those described in these “Risk Factors,” could have a dramatic and material adverse impact on the market price of our common stock.</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in the use of our cash and may not use our cash effectively, which could adversely affect our results of operations.</w:t>
      </w:r>
    </w:p>
    <w:p>
      <w:pPr>
        <w:spacing w:after="0" w:line="129"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management has broad discretion in the application of our cash resources. Because of the number and variability of factors that will determine our use of our cash resources, our management might not apply our cash in ways that ultimately increase the value of our common stock. The failure by our management to apply our cash effectively could harm our business. Pending their use, we may invest our cash in short-term, investment-grade, interest-bearing securities. These investments may not yield a favorable return to our stockholders. If we do not invest or apply our cash in ways that enhance stockholder value, we may fail to achieve expected financial results, which could cause our stock price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2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resale of shares covered by our effective shelf registration statement could adversely affect the market price of our common stock in the public market, should one develop, which result would in turn negatively affect our ability to raise additional equity capital.</w:t>
      </w:r>
    </w:p>
    <w:p>
      <w:pPr>
        <w:spacing w:after="0" w:line="3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filed a registration statement with the SEC, which was declared effective on July 21, 2015, and subsequently filed a post-effective amendment to such registration statement with the SEC, which was declared effective on April 14, 2016, to register the resale of 13,947,599 shares of our common stock, which represents a substantial portion of the shares of our common stock issued in connection with the our reverse merger transaction. The shelf registration statement permits the resale of these shares at any time, subject to restrictions under applicable law.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are a large number of shares registered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pursuant to the shelf registration statement, the selling stockholders named in such registration statement will continue to offer shares covered by the shelf registration statement for a significant period of time, the precise duration of which cannot be predicted. Accordingly, the adverse market and price pressures resulting from an offering pursuant to the shelf registration statement may continue for an extended period of time and continued negative pressure on the market price of our common stock could have a material adverse effect on our ability to raise additional equity capital.</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complying with the laws and regulations affecting public companies, which could harm our operating results.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As a public company, we have incurred and will incur significant legal, accounting and other expenses, including costs associated with public company reporting requirements. We also have incurred and will incur costs associated with current corporate governance requirements, including requirements under Section 404 and other provisions of the Sarbanes-Oxley Act of 2002, or Sarbanes-Oxley Act, as well as rules implemented by the SEC or the Nasdaq Global Select Market or any other stock exchange or inter-dealer quotations system on which our common stock may be listed in the future. The expenses incurred by public companies for reporting and corporate governance purposes have increased dramatically in recent years.</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and timely financial statements could be impaired, which could harm our operating results, our ability to operate our business and investors’ views of us.</w:t>
      </w:r>
    </w:p>
    <w:p>
      <w:pPr>
        <w:spacing w:after="0" w:line="62"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We are required to comply with certain aspects of Section 404 of the Sarbanes-Oxley Act. Section 404 of the Sarbanes-Oxley Act requires public companies to, among other things, conduct an annual review and evaluation of their internal controls over financial reporting. Ensuring that we have adequate internal financial and accounting controls and procedures in place so that we can produce accurate financial statements on a timely basis is a costly and time-consuming effort that will require frequent evaluation. Our failure to maintain the effectiveness of our internal controls in accordance with the requirements of the Sarbanes-Oxley Act could have a material adverse effect on our business. We could lose investor confidence in the accuracy and completeness of our financial reports, which could have an adverse effect on the price of our common stock. In addition, if our efforts to comply with new or changed laws, regulations and standards differ from the activities intended by regulatory or governing bodies, regulatory authorities may initiate legal proceedings against us and our business may be harmed.</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which will allow us to take advantage of certain reduced disclosure obligations as a public reporting company that may make our common stock less attractive to investors.*</w:t>
      </w:r>
    </w:p>
    <w:p>
      <w:pPr>
        <w:spacing w:after="0" w:line="6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We are an “emerging growth company” under the Jumpstart Our Business Startups Act and a “smaller reporting company” as defined in applicable rules under the Exchange Act. As an emerging growth company and a smaller reporting company, we are eligible to take advantage of certain extended accounting standards and exemptions from various reporting requirements that are not available to public reporting companies that do not qualify for those classifications. For instance, we are exempt from any requirement that may be adopted by the Public Company Accounting Oversight Board regarding mandatory audit firm rotation or a supplement to the auditor’s report providing additional information about the audit and financial statements, commonly known as an “auditor discussion and analysis”; we are not required to hold a nonbinding advisory stockholder vote on executive compensation or any golden parachute payments not previously approved by stockholders; we are not required to comply with the requirement of auditor attestation of management’s assessment of internal control over financial reporting, which is required for some other public reporting companies by Section 404 of the Sarbanes-Oxley Act; we are eligible for reduced disclosure obligations regarding executive compensation in our periodic and annual reports; and we are eligible for reduced financial statement disclosure in any registration statements under the Securities Act or reports under the Exchange Act that we may file. For as long as we continue to be an emerging growth company and/or a smaller reporting company, which we anticipate will be for the foreseeable future, we expect that we will take advantage of the reduced disclosure obligations available to us as a result of those respective classifications. As a result, our publicly available disclosure may not be as robust or comprehensive as that of other public reporting companies that do not qualify for those classifications.</w:t>
      </w:r>
    </w:p>
    <w:p>
      <w:pPr>
        <w:spacing w:after="0" w:line="17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Further, as an emerging growth company, we can elect to delay the adoption of certain accounting standards until those standards would otherwise apply to private companies. We have irrevocably elected not to take advantage of this extended transition period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Management and our board of directors beneficially own a significant amount of our outstanding equity securities and will be able to exert substantial control over us.</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executive officers and directors beneficially own a significant percentage of our outstanding equity securities. Accordingly, if they act as a group, our executive officers and directors will be able to significantly influence all business decisions, including with respect to such matters as amendments to our charter, other fundamental corporate transactions such as mergers, asset sales and the sale of us, and otherwise will be able to significantly influence our business and affairs.</w:t>
      </w:r>
    </w:p>
    <w:p>
      <w:pPr>
        <w:spacing w:after="0" w:line="295"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Future sales and issuances of our common stock or rights to purchase common stock, including pursuant to our equity incentive plans, outstanding stock options, warrants, or otherwise, could result in dilution to the percentage ownership of our stockholders and could cause our stock price to fall.*</w:t>
      </w:r>
    </w:p>
    <w:p>
      <w:pPr>
        <w:spacing w:after="0" w:line="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expect that significant additional capital will be needed in the future to continue our planned operations. To raise capital, we may sell common stock, convertible securities or other equity securities in one or more transactions at prices and in a manner we determine from time to time.</w:t>
      </w:r>
    </w:p>
    <w:p>
      <w:pPr>
        <w:spacing w:after="0" w:line="14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If we sell common stock, convertible securities or other equity securities in more than one transaction, investors in a prior transaction may be materially diluted by subsequent sales. Additionally, any such sales may result in material dilution to our existing stockholders, and new investors could gain rights, preferences and privileges senior to those of holders of our common stock. Further, any future sales of our common stock by us or resales of our common stock by our existing stockholders or the perception that such sales could occur could cause the market price of our common stock to decline. In January 2017, we entered into an ATM facility with Cowen, under which we may offer and sell, from time to time, shares of our common stock having an aggregate offering price of up to $25.0 million. As of August 2, 2017, we have sold 14,300 shares of our common stock under the ATM facility for gross proceeds of $163,000.</w:t>
      </w:r>
    </w:p>
    <w:p>
      <w:pPr>
        <w:spacing w:after="0" w:line="189"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Pursuant to our Amended and Restated 2014 Equity Incentive Plan, or 2014 Plan, we are authorized to grant equity awards consisting of shares of our common stock to our employees, directors and consultants. As of June 30, 2017, we had 574,789 shares of common stock reserved for future issuance under our 2014 Plan and options to purchase up to an aggregate of 2,214,547 shares of common stock outstanding. The number of shares available for future grant under our 2014 Plan will automatically increase on January 1 of each year by 4% of the total number of shares of our common stock outstanding on December 31 of the preceding calendar year, subject to the ability of our board of directors to take action to reduce the size of the increase in any given year. On January 1, 2017, an automatic increase pursuant to the 2014 Plan occurred, resulting in 854,709 additional shares available for future grant under the 2014 Plan. In addition, we may grant or provide for the grant of rights to purchase shares of our common stock pursuant to our 2015 Employee Stock Purchase Plan, or ESPP. As of June 30, 2017, we had 238,705 shares of common stock reserved for future issuance under our ESPP. The number of shares of our common stock reserved for issuance under the ESPP will automatically increase on January 1 of each calendar year by the lesser of 1% of the total number of shares of our common stock outstanding on December 31 of the preceding calendar year and 2,000,000 shares, subject to the ability of our board of directors to take action to reduce the size of the increase in any given year. In December 2016, the board of directors elected not to automatically increase the number of shares of our common stock reserved for issuance under the ESPP in January 2017. In connection with the Term A Loan, warrants to purchase up to 33,988 shares of our common stock at an exercise price of $3.31 per share remain outstanding as of June 30, 2017 and if we borrow under Term B Loan, upon the funding of Term B Loan, we will issue to the lenders additional warrants to purchase shares of our common stock. Any future grants of options, warrants or other securities exercisable or convertible into our common stock, or the exercise or conversion of such shares, and any sales of such shares in the market, could have an adverse effect on the market price of our common stock.</w:t>
      </w:r>
    </w:p>
    <w:p>
      <w:pPr>
        <w:spacing w:after="0" w:line="24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Our amended and restated certificate of incorporation, as amended, and amended and restated bylaws contain provisions that could delay or prevent a change of control of our company or changes in our board of directors that our stockholders might consider favorable. Some of these provisions include:</w:t>
      </w:r>
    </w:p>
    <w:p>
      <w:pPr>
        <w:spacing w:after="0" w:line="16" w:lineRule="exact"/>
        <w:rPr>
          <w:sz w:val="20"/>
          <w:szCs w:val="20"/>
          <w:color w:val="auto"/>
        </w:rPr>
      </w:pPr>
    </w:p>
    <w:p>
      <w:pPr>
        <w:ind w:left="10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jc w:val="both"/>
        <w:ind w:left="104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a majority of all outstanding shares of our voting stock then entitled to vote in the election of directors;</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of approval of not less than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70"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as amended,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tax loss carryforwards and certain other tax attributes may be limited.</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and other pre-change tax attributes to offset its post-change income may be limited. As a result of our March 2015 private placement and November 2015 public offering, and other transactions that have occurred over the past three years, we may have triggered an “ownership change” limitation. In addition, we may experience ownership changes in the future as a result of subsequent shifts in our stock ownership. As a result, if we earn net taxable income, our ability to use our pre-change net operating loss carryforwards and other pre-change tax attributes to offset U.S. federal and state taxable income may be subject to limitations, which could potentially result in increased future tax liability to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on our capital stock in the foreseeable future.</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have never declared or paid any dividends on our common stock and do not anticipate paying any dividends in the foreseeable future. Any payment of cash dividends in the future would depend on our financial condition, contractual restrictions, including under our term loan facility, solvency tests imposed by applicable corporate laws, results of operations, anticipated cash requirements and other factors and will be at the discretion of our board of directors. Our stockholders should not expect that we will ever pay cash or other dividends on our outstanding capital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the Exhibit Index immediately following the signature page of this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Kura Oncology, Inc.</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 Delaware corporation</w:t>
            </w:r>
          </w:p>
        </w:tc>
      </w:tr>
      <w:tr>
        <w:trPr>
          <w:trHeight w:val="459"/>
        </w:trPr>
        <w:tc>
          <w:tcPr>
            <w:tcW w:w="6860" w:type="dxa"/>
            <w:vAlign w:val="bottom"/>
          </w:tcPr>
          <w:p>
            <w:pPr>
              <w:spacing w:after="0"/>
              <w:rPr>
                <w:sz w:val="20"/>
                <w:szCs w:val="20"/>
                <w:color w:val="auto"/>
              </w:rPr>
            </w:pPr>
            <w:r>
              <w:rPr>
                <w:rFonts w:ascii="Arial" w:cs="Arial" w:eastAsia="Arial" w:hAnsi="Arial"/>
                <w:sz w:val="18"/>
                <w:szCs w:val="18"/>
                <w:color w:val="auto"/>
              </w:rPr>
              <w:t>Date: August 7,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Troy E. Wilson, Ph.D., J.D.</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Troy E. Wilson, Ph.D., J.D.</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9"/>
        </w:trPr>
        <w:tc>
          <w:tcPr>
            <w:tcW w:w="6860" w:type="dxa"/>
            <w:vAlign w:val="bottom"/>
          </w:tcPr>
          <w:p>
            <w:pPr>
              <w:spacing w:after="0"/>
              <w:rPr>
                <w:sz w:val="20"/>
                <w:szCs w:val="20"/>
                <w:color w:val="auto"/>
              </w:rPr>
            </w:pPr>
            <w:r>
              <w:rPr>
                <w:rFonts w:ascii="Arial" w:cs="Arial" w:eastAsia="Arial" w:hAnsi="Arial"/>
                <w:sz w:val="18"/>
                <w:szCs w:val="18"/>
                <w:color w:val="auto"/>
              </w:rPr>
              <w:t>Date: August 7,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Heidi Henson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Heidi Henson</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and Secretary</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48" w:name="page49"/>
    <w:bookmarkEnd w:id="48"/>
    <w:p>
      <w:pPr>
        <w:jc w:val="center"/>
        <w:ind w:right="-86"/>
        <w:spacing w:after="0"/>
        <w:rPr>
          <w:sz w:val="20"/>
          <w:szCs w:val="20"/>
          <w:color w:val="auto"/>
        </w:rPr>
      </w:pPr>
      <w:r>
        <w:rPr>
          <w:rFonts w:ascii="Arial" w:cs="Arial" w:eastAsia="Arial" w:hAnsi="Arial"/>
          <w:sz w:val="18"/>
          <w:szCs w:val="18"/>
          <w:b w:val="1"/>
          <w:bCs w:val="1"/>
          <w:color w:val="auto"/>
        </w:rPr>
        <w:t>INDEX TO EXHIBITS</w:t>
      </w:r>
    </w:p>
    <w:p>
      <w:pPr>
        <w:spacing w:after="0" w:line="208" w:lineRule="exact"/>
        <w:rPr>
          <w:sz w:val="20"/>
          <w:szCs w:val="20"/>
          <w:color w:val="auto"/>
        </w:rPr>
      </w:pPr>
    </w:p>
    <w:tbl>
      <w:tblPr>
        <w:tblLayout w:type="fixed"/>
        <w:tblInd w:w="107"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Incorporated by</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Filed</w:t>
            </w: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SEC File/Reg.</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18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160" w:type="dxa"/>
            <w:vAlign w:val="bottom"/>
            <w:vMerge w:val="restart"/>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2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8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1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6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317"/>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2.1</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March 6, 2015, by and among the</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260" w:type="dxa"/>
            <w:vAlign w:val="bottom"/>
          </w:tcPr>
          <w:p>
            <w:pPr>
              <w:ind w:left="280"/>
              <w:spacing w:after="0"/>
              <w:rPr>
                <w:sz w:val="20"/>
                <w:szCs w:val="20"/>
                <w:color w:val="auto"/>
              </w:rPr>
            </w:pPr>
            <w:r>
              <w:rPr>
                <w:rFonts w:ascii="Arial" w:cs="Arial" w:eastAsia="Arial" w:hAnsi="Arial"/>
                <w:sz w:val="18"/>
                <w:szCs w:val="18"/>
                <w:color w:val="auto"/>
              </w:rPr>
              <w:t>3/12/2015</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000-53058</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Registrant, Kura Operations, Inc. and Kura Oncology, Inc.</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(Exhibit 2.1)</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2.2</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5"/>
              </w:rPr>
              <w:t>Agreement and Plan of Merger, dated March 6, 2015, by and between</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260" w:type="dxa"/>
            <w:vAlign w:val="bottom"/>
          </w:tcPr>
          <w:p>
            <w:pPr>
              <w:ind w:left="280"/>
              <w:spacing w:after="0"/>
              <w:rPr>
                <w:sz w:val="20"/>
                <w:szCs w:val="20"/>
                <w:color w:val="auto"/>
              </w:rPr>
            </w:pPr>
            <w:r>
              <w:rPr>
                <w:rFonts w:ascii="Arial" w:cs="Arial" w:eastAsia="Arial" w:hAnsi="Arial"/>
                <w:sz w:val="18"/>
                <w:szCs w:val="18"/>
                <w:color w:val="auto"/>
              </w:rPr>
              <w:t>3/12/2015</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000-53058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4"/>
              </w:rPr>
              <w:t>the Registrant and Kura Oncology, Inc., relating to the name change of</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(Exhibit 2.2)</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the Registrant.</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3.1</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3"/>
              </w:rPr>
              <w:t>Amended and Restated Certificate of Incorporation of the Registrant, as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260" w:type="dxa"/>
            <w:vAlign w:val="bottom"/>
          </w:tcPr>
          <w:p>
            <w:pPr>
              <w:ind w:left="280"/>
              <w:spacing w:after="0"/>
              <w:rPr>
                <w:sz w:val="20"/>
                <w:szCs w:val="20"/>
                <w:color w:val="auto"/>
              </w:rPr>
            </w:pPr>
            <w:r>
              <w:rPr>
                <w:rFonts w:ascii="Arial" w:cs="Arial" w:eastAsia="Arial" w:hAnsi="Arial"/>
                <w:sz w:val="18"/>
                <w:szCs w:val="18"/>
                <w:color w:val="auto"/>
              </w:rPr>
              <w:t>6/14/2017</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001-37620</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amended.</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(Exhibit 3.1)</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3.2</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of the Registrant.</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260" w:type="dxa"/>
            <w:vAlign w:val="bottom"/>
          </w:tcPr>
          <w:p>
            <w:pPr>
              <w:ind w:left="280"/>
              <w:spacing w:after="0"/>
              <w:rPr>
                <w:sz w:val="20"/>
                <w:szCs w:val="20"/>
                <w:color w:val="auto"/>
              </w:rPr>
            </w:pPr>
            <w:r>
              <w:rPr>
                <w:rFonts w:ascii="Arial" w:cs="Arial" w:eastAsia="Arial" w:hAnsi="Arial"/>
                <w:sz w:val="18"/>
                <w:szCs w:val="18"/>
                <w:color w:val="auto"/>
              </w:rPr>
              <w:t>6/14/2017</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001-37620</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(Exhibit 3.2)</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4.1</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Form of Common Stock certificate.</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260" w:type="dxa"/>
            <w:vAlign w:val="bottom"/>
          </w:tcPr>
          <w:p>
            <w:pPr>
              <w:ind w:left="280"/>
              <w:spacing w:after="0"/>
              <w:rPr>
                <w:sz w:val="20"/>
                <w:szCs w:val="20"/>
                <w:color w:val="auto"/>
              </w:rPr>
            </w:pPr>
            <w:r>
              <w:rPr>
                <w:rFonts w:ascii="Arial" w:cs="Arial" w:eastAsia="Arial" w:hAnsi="Arial"/>
                <w:sz w:val="18"/>
                <w:szCs w:val="18"/>
                <w:color w:val="auto"/>
              </w:rPr>
              <w:t>3/12/2015</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000-53058</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(Exhibit 4.1)</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4.2</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Registration Rights Agreement, dated as of March 6, 2015, by and</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260" w:type="dxa"/>
            <w:vAlign w:val="bottom"/>
          </w:tcPr>
          <w:p>
            <w:pPr>
              <w:ind w:left="280"/>
              <w:spacing w:after="0"/>
              <w:rPr>
                <w:sz w:val="20"/>
                <w:szCs w:val="20"/>
                <w:color w:val="auto"/>
              </w:rPr>
            </w:pPr>
            <w:r>
              <w:rPr>
                <w:rFonts w:ascii="Arial" w:cs="Arial" w:eastAsia="Arial" w:hAnsi="Arial"/>
                <w:sz w:val="18"/>
                <w:szCs w:val="18"/>
                <w:color w:val="auto"/>
              </w:rPr>
              <w:t>3/12/2015</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000-53058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among Kura Oncology, Inc. and the Investors listed on Schedule A</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(Exhibit 4.2)</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thereto.</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7"/>
              </w:rPr>
              <w:t>Warrant to Purchase Stock by Registrant on April 27, 2016 to Oxford</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1260" w:type="dxa"/>
            <w:vAlign w:val="bottom"/>
          </w:tcPr>
          <w:p>
            <w:pPr>
              <w:ind w:left="280"/>
              <w:spacing w:after="0"/>
              <w:rPr>
                <w:sz w:val="20"/>
                <w:szCs w:val="20"/>
                <w:color w:val="auto"/>
              </w:rPr>
            </w:pPr>
            <w:r>
              <w:rPr>
                <w:rFonts w:ascii="Arial" w:cs="Arial" w:eastAsia="Arial" w:hAnsi="Arial"/>
                <w:sz w:val="18"/>
                <w:szCs w:val="18"/>
                <w:color w:val="auto"/>
              </w:rPr>
              <w:t>8/10/2016</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001-37620</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Finance LLC.</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(Exhibit 4.3)</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10.1</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First Amendment to Loan and Security Agreement, dated May 12,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1260" w:type="dxa"/>
            <w:vAlign w:val="bottom"/>
          </w:tcPr>
          <w:p>
            <w:pPr>
              <w:ind w:left="280"/>
              <w:spacing w:after="0"/>
              <w:rPr>
                <w:sz w:val="20"/>
                <w:szCs w:val="20"/>
                <w:color w:val="auto"/>
              </w:rPr>
            </w:pPr>
            <w:r>
              <w:rPr>
                <w:rFonts w:ascii="Arial" w:cs="Arial" w:eastAsia="Arial" w:hAnsi="Arial"/>
                <w:sz w:val="18"/>
                <w:szCs w:val="18"/>
                <w:color w:val="auto"/>
              </w:rPr>
              <w:t>5/15/2017</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001-37620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5"/>
              </w:rPr>
              <w:t>2017, by and between the Registrant, Oxford Finance LLC and Silicon</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(Exhibit 10.2)</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Valley Bank.</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10.2*</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7"/>
              </w:rPr>
              <w:t>Fifth Amendment to Patent License Agreement, dated May 24, 2017,</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9"/>
              </w:rPr>
              <w:t>by and between the Registrant and the Regents of the University of</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Michigan.</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31.1</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7"/>
              </w:rPr>
              <w:t>Certification of Principal Executive Officer pursuant to Section 302 of</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31.2</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8"/>
              </w:rPr>
              <w:t>Certification of Principal Financial Officer pursuant to Section 302 of</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32.1</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Certifications of Principal Executive Officer and Principal Financial</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w w:val="95"/>
              </w:rPr>
              <w:t>Officer pursuant to Section 906 of the Sarbanes-Oxley Act of 2002, 18</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U.S.C. 1350.</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5500" w:type="dxa"/>
            <w:vAlign w:val="bottom"/>
            <w:gridSpan w:val="3"/>
          </w:tcPr>
          <w:p>
            <w:pPr>
              <w:ind w:left="160"/>
              <w:spacing w:after="0"/>
              <w:rPr>
                <w:sz w:val="20"/>
                <w:szCs w:val="20"/>
                <w:color w:val="auto"/>
              </w:rPr>
            </w:pPr>
            <w:r>
              <w:rPr>
                <w:rFonts w:ascii="Arial" w:cs="Arial" w:eastAsia="Arial" w:hAnsi="Arial"/>
                <w:sz w:val="18"/>
                <w:szCs w:val="18"/>
                <w:color w:val="auto"/>
              </w:rPr>
              <w:t>XBRL Taxonomy Presentation Linkbase Document</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7" w:right="160" w:hanging="227"/>
        <w:spacing w:after="0" w:line="277" w:lineRule="auto"/>
        <w:tabs>
          <w:tab w:leader="none" w:pos="1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84" w:lineRule="exact"/>
        <w:rPr>
          <w:sz w:val="20"/>
          <w:szCs w:val="20"/>
          <w:color w:val="auto"/>
        </w:rPr>
      </w:pPr>
    </w:p>
    <w:p>
      <w:pPr>
        <w:jc w:val="center"/>
        <w:ind w:right="-86"/>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7"/>
          </w:cols>
          <w:pgMar w:left="253" w:top="121" w:right="339" w:bottom="1440" w:gutter="0" w:footer="0" w:header="0"/>
        </w:sectPr>
      </w:pPr>
    </w:p>
    <w:bookmarkStart w:id="49" w:name="page50"/>
    <w:bookmarkEnd w:id="49"/>
    <w:p>
      <w:pPr>
        <w:ind w:left="10300"/>
        <w:spacing w:after="0"/>
        <w:rPr>
          <w:sz w:val="20"/>
          <w:szCs w:val="20"/>
          <w:color w:val="auto"/>
        </w:rPr>
      </w:pPr>
      <w:r>
        <w:rPr>
          <w:rFonts w:ascii="Arial" w:cs="Arial" w:eastAsia="Arial" w:hAnsi="Arial"/>
          <w:sz w:val="19"/>
          <w:szCs w:val="19"/>
          <w:b w:val="1"/>
          <w:bCs w:val="1"/>
          <w:color w:val="auto"/>
        </w:rPr>
        <w:t>Exhibit 10.2</w:t>
      </w:r>
    </w:p>
    <w:p>
      <w:pPr>
        <w:spacing w:after="0" w:line="54"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***Text Omitted and Filed Separately</w:t>
      </w:r>
    </w:p>
    <w:p>
      <w:pPr>
        <w:spacing w:after="0" w:line="30"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Under 17 C.F.R. Sections 200.80(b)(4)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and 240.24b-2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FIFTH AMENDMENT TO PATENT LICENSE AGREEMENT</w:t>
      </w:r>
    </w:p>
    <w:p>
      <w:pPr>
        <w:spacing w:after="0" w:line="204"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This FIFTH AMENDMENT TO PATENT LICENSE AGREEMENT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as of May 24, 2017 (the “</w:t>
      </w:r>
      <w:r>
        <w:rPr>
          <w:rFonts w:ascii="Arial" w:cs="Arial" w:eastAsia="Arial" w:hAnsi="Arial"/>
          <w:sz w:val="21"/>
          <w:szCs w:val="21"/>
          <w:u w:val="single" w:color="auto"/>
          <w:color w:val="auto"/>
        </w:rPr>
        <w:t>Amendment Effective Date</w:t>
      </w:r>
      <w:r>
        <w:rPr>
          <w:rFonts w:ascii="Arial" w:cs="Arial" w:eastAsia="Arial" w:hAnsi="Arial"/>
          <w:sz w:val="21"/>
          <w:szCs w:val="21"/>
          <w:color w:val="auto"/>
        </w:rPr>
        <w:t>”) by and between Kura Oncology, Inc. (“</w:t>
      </w:r>
      <w:r>
        <w:rPr>
          <w:rFonts w:ascii="Arial" w:cs="Arial" w:eastAsia="Arial" w:hAnsi="Arial"/>
          <w:sz w:val="21"/>
          <w:szCs w:val="21"/>
          <w:u w:val="single" w:color="auto"/>
          <w:color w:val="auto"/>
        </w:rPr>
        <w:t>Licensee</w:t>
      </w:r>
      <w:r>
        <w:rPr>
          <w:rFonts w:ascii="Arial" w:cs="Arial" w:eastAsia="Arial" w:hAnsi="Arial"/>
          <w:sz w:val="21"/>
          <w:szCs w:val="21"/>
          <w:color w:val="auto"/>
        </w:rPr>
        <w:t>”) having the address set forth in Article 12 of the Agreement (as defined below), and the Regents of the University of Michigan, a constitutional corporation of the state of Michigan (“</w:t>
      </w:r>
      <w:r>
        <w:rPr>
          <w:rFonts w:ascii="Arial" w:cs="Arial" w:eastAsia="Arial" w:hAnsi="Arial"/>
          <w:sz w:val="21"/>
          <w:szCs w:val="21"/>
          <w:u w:val="single" w:color="auto"/>
          <w:color w:val="auto"/>
        </w:rPr>
        <w:t>Michigan</w:t>
      </w:r>
      <w:r>
        <w:rPr>
          <w:rFonts w:ascii="Arial" w:cs="Arial" w:eastAsia="Arial" w:hAnsi="Arial"/>
          <w:sz w:val="21"/>
          <w:szCs w:val="21"/>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24" w:lineRule="exact"/>
        <w:rPr>
          <w:sz w:val="20"/>
          <w:szCs w:val="20"/>
          <w:color w:val="auto"/>
        </w:rPr>
      </w:pPr>
    </w:p>
    <w:p>
      <w:pPr>
        <w:ind w:firstLine="885"/>
        <w:spacing w:after="0" w:line="264" w:lineRule="auto"/>
        <w:tabs>
          <w:tab w:leader="none" w:pos="1727" w:val="left"/>
        </w:tabs>
        <w:numPr>
          <w:ilvl w:val="0"/>
          <w:numId w:val="31"/>
        </w:numPr>
        <w:rPr>
          <w:rFonts w:ascii="Arial" w:cs="Arial" w:eastAsia="Arial" w:hAnsi="Arial"/>
          <w:sz w:val="21"/>
          <w:szCs w:val="21"/>
          <w:color w:val="auto"/>
        </w:rPr>
      </w:pPr>
      <w:r>
        <w:rPr>
          <w:rFonts w:ascii="Arial" w:cs="Arial" w:eastAsia="Arial" w:hAnsi="Arial"/>
          <w:sz w:val="21"/>
          <w:szCs w:val="21"/>
          <w:color w:val="auto"/>
        </w:rPr>
        <w:t>Licensee and Michigan are parties to that certain Patent License Agreement, dated December 22, 2014, as amended on March 3, 2015, July 22, 2015, September 29, 2016 and February 1, 2017 (the “</w:t>
      </w:r>
      <w:r>
        <w:rPr>
          <w:rFonts w:ascii="Arial" w:cs="Arial" w:eastAsia="Arial" w:hAnsi="Arial"/>
          <w:sz w:val="21"/>
          <w:szCs w:val="21"/>
          <w:u w:val="single" w:color="auto"/>
          <w:color w:val="auto"/>
        </w:rPr>
        <w:t>Agreement</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left="1720" w:hanging="835"/>
        <w:spacing w:after="0"/>
        <w:tabs>
          <w:tab w:leader="none" w:pos="1720"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Parties have decided to further amend the Agreement as set forth herein.</w:t>
      </w:r>
    </w:p>
    <w:p>
      <w:pPr>
        <w:spacing w:after="0" w:line="212"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1"/>
          <w:szCs w:val="21"/>
          <w:b w:val="1"/>
          <w:bCs w:val="1"/>
          <w:color w:val="auto"/>
        </w:rPr>
        <w:t>N</w:t>
      </w:r>
      <w:r>
        <w:rPr>
          <w:rFonts w:ascii="Arial" w:cs="Arial" w:eastAsia="Arial" w:hAnsi="Arial"/>
          <w:sz w:val="14"/>
          <w:szCs w:val="14"/>
          <w:b w:val="1"/>
          <w:bCs w:val="1"/>
          <w:color w:val="auto"/>
        </w:rPr>
        <w:t>OW</w:t>
      </w:r>
      <w:r>
        <w:rPr>
          <w:rFonts w:ascii="Arial" w:cs="Arial" w:eastAsia="Arial" w:hAnsi="Arial"/>
          <w:sz w:val="21"/>
          <w:szCs w:val="21"/>
          <w:b w:val="1"/>
          <w:bCs w:val="1"/>
          <w:color w:val="auto"/>
        </w:rPr>
        <w:t>, T</w:t>
      </w:r>
      <w:r>
        <w:rPr>
          <w:rFonts w:ascii="Arial" w:cs="Arial" w:eastAsia="Arial" w:hAnsi="Arial"/>
          <w:sz w:val="14"/>
          <w:szCs w:val="14"/>
          <w:b w:val="1"/>
          <w:bCs w:val="1"/>
          <w:color w:val="auto"/>
        </w:rPr>
        <w:t>HEREFORE</w:t>
      </w:r>
      <w:r>
        <w:rPr>
          <w:rFonts w:ascii="Arial" w:cs="Arial" w:eastAsia="Arial" w:hAnsi="Arial"/>
          <w:sz w:val="21"/>
          <w:szCs w:val="21"/>
          <w:b w:val="1"/>
          <w:bCs w:val="1"/>
          <w:color w:val="auto"/>
        </w:rPr>
        <w:t xml:space="preserve">, </w:t>
      </w:r>
      <w:r>
        <w:rPr>
          <w:rFonts w:ascii="Arial" w:cs="Arial" w:eastAsia="Arial" w:hAnsi="Arial"/>
          <w:sz w:val="21"/>
          <w:szCs w:val="21"/>
          <w:color w:val="auto"/>
        </w:rPr>
        <w:t>in consideration of the foregoing premises and the mutual covenants herein contained, and for other good</w:t>
      </w:r>
      <w:r>
        <w:rPr>
          <w:rFonts w:ascii="Arial" w:cs="Arial" w:eastAsia="Arial" w:hAnsi="Arial"/>
          <w:sz w:val="21"/>
          <w:szCs w:val="21"/>
          <w:b w:val="1"/>
          <w:bCs w:val="1"/>
          <w:color w:val="auto"/>
        </w:rPr>
        <w:t xml:space="preserve"> </w:t>
      </w:r>
      <w:r>
        <w:rPr>
          <w:rFonts w:ascii="Arial" w:cs="Arial" w:eastAsia="Arial" w:hAnsi="Arial"/>
          <w:sz w:val="21"/>
          <w:szCs w:val="21"/>
          <w:color w:val="auto"/>
        </w:rPr>
        <w:t>and valuable consideration, the receipt and sufficiency of which are hereby acknowledged, Licensee and Michigan hereby agree as follows:</w:t>
      </w:r>
    </w:p>
    <w:p>
      <w:pPr>
        <w:spacing w:after="0" w:line="173" w:lineRule="exact"/>
        <w:rPr>
          <w:sz w:val="20"/>
          <w:szCs w:val="20"/>
          <w:color w:val="auto"/>
        </w:rPr>
      </w:pPr>
    </w:p>
    <w:p>
      <w:pPr>
        <w:ind w:firstLine="885"/>
        <w:spacing w:after="0" w:line="253" w:lineRule="auto"/>
        <w:tabs>
          <w:tab w:leader="none" w:pos="1681" w:val="left"/>
        </w:tabs>
        <w:numPr>
          <w:ilvl w:val="0"/>
          <w:numId w:val="32"/>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Defined Terms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19"/>
          <w:szCs w:val="19"/>
          <w:color w:val="auto"/>
        </w:rPr>
        <w:t>All capitalized terms not otherwise defined in this Amendment shall have the same meanings that are</w:t>
      </w:r>
      <w:r>
        <w:rPr>
          <w:rFonts w:ascii="Arial" w:cs="Arial" w:eastAsia="Arial" w:hAnsi="Arial"/>
          <w:sz w:val="21"/>
          <w:szCs w:val="21"/>
          <w:b w:val="1"/>
          <w:bCs w:val="1"/>
          <w:color w:val="auto"/>
        </w:rPr>
        <w:t xml:space="preserve"> </w:t>
      </w:r>
      <w:r>
        <w:rPr>
          <w:rFonts w:ascii="Arial" w:cs="Arial" w:eastAsia="Arial" w:hAnsi="Arial"/>
          <w:sz w:val="19"/>
          <w:szCs w:val="19"/>
          <w:color w:val="auto"/>
        </w:rPr>
        <w:t>ascribed to them in the Agreement.</w:t>
      </w:r>
    </w:p>
    <w:p>
      <w:pPr>
        <w:spacing w:after="0" w:line="179" w:lineRule="exact"/>
        <w:rPr>
          <w:rFonts w:ascii="Arial" w:cs="Arial" w:eastAsia="Arial" w:hAnsi="Arial"/>
          <w:sz w:val="21"/>
          <w:szCs w:val="21"/>
          <w:color w:val="auto"/>
        </w:rPr>
      </w:pPr>
    </w:p>
    <w:p>
      <w:pPr>
        <w:ind w:left="1680" w:hanging="795"/>
        <w:spacing w:after="0"/>
        <w:tabs>
          <w:tab w:leader="none" w:pos="1680" w:val="left"/>
        </w:tabs>
        <w:numPr>
          <w:ilvl w:val="0"/>
          <w:numId w:val="32"/>
        </w:numPr>
        <w:rPr>
          <w:rFonts w:ascii="Arial" w:cs="Arial" w:eastAsia="Arial" w:hAnsi="Arial"/>
          <w:sz w:val="21"/>
          <w:szCs w:val="21"/>
          <w:color w:val="auto"/>
        </w:rPr>
      </w:pPr>
      <w:r>
        <w:rPr>
          <w:rFonts w:ascii="Arial" w:cs="Arial" w:eastAsia="Arial" w:hAnsi="Arial"/>
          <w:sz w:val="21"/>
          <w:szCs w:val="21"/>
          <w:b w:val="1"/>
          <w:bCs w:val="1"/>
          <w:u w:val="single" w:color="auto"/>
          <w:color w:val="auto"/>
        </w:rPr>
        <w:t>Article 1.</w:t>
      </w:r>
      <w:r>
        <w:rPr>
          <w:rFonts w:ascii="Arial" w:cs="Arial" w:eastAsia="Arial" w:hAnsi="Arial"/>
          <w:sz w:val="21"/>
          <w:szCs w:val="21"/>
          <w:b w:val="1"/>
          <w:bCs w:val="1"/>
          <w:color w:val="auto"/>
        </w:rPr>
        <w:t xml:space="preserve"> </w:t>
      </w:r>
      <w:r>
        <w:rPr>
          <w:rFonts w:ascii="Arial" w:cs="Arial" w:eastAsia="Arial" w:hAnsi="Arial"/>
          <w:sz w:val="21"/>
          <w:szCs w:val="21"/>
          <w:color w:val="auto"/>
        </w:rPr>
        <w:t>Article 1 of the Agreement is hereby amended to insert a new Section 1.11A as follows:</w:t>
      </w:r>
    </w:p>
    <w:p>
      <w:pPr>
        <w:spacing w:after="0" w:line="224"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“1.11A “[</w:t>
      </w:r>
      <w:r>
        <w:rPr>
          <w:rFonts w:ascii="Arial" w:cs="Arial" w:eastAsia="Arial" w:hAnsi="Arial"/>
          <w:sz w:val="19"/>
          <w:szCs w:val="19"/>
          <w:color w:val="auto"/>
        </w:rPr>
        <w:t>…***…</w:t>
      </w:r>
      <w:r>
        <w:rPr>
          <w:rFonts w:ascii="Arial" w:cs="Arial" w:eastAsia="Arial" w:hAnsi="Arial"/>
          <w:sz w:val="21"/>
          <w:szCs w:val="21"/>
          <w:color w:val="auto"/>
        </w:rPr>
        <w:t>]” means [</w:t>
      </w:r>
      <w:r>
        <w:rPr>
          <w:rFonts w:ascii="Arial" w:cs="Arial" w:eastAsia="Arial" w:hAnsi="Arial"/>
          <w:sz w:val="19"/>
          <w:szCs w:val="19"/>
          <w:color w:val="auto"/>
        </w:rPr>
        <w:t>…***…]</w:t>
      </w:r>
      <w:r>
        <w:rPr>
          <w:rFonts w:ascii="Arial" w:cs="Arial" w:eastAsia="Arial" w:hAnsi="Arial"/>
          <w:sz w:val="21"/>
          <w:szCs w:val="21"/>
          <w:color w:val="auto"/>
        </w:rPr>
        <w:t>.”</w:t>
      </w:r>
    </w:p>
    <w:p>
      <w:pPr>
        <w:spacing w:after="0" w:line="212" w:lineRule="exact"/>
        <w:rPr>
          <w:sz w:val="20"/>
          <w:szCs w:val="20"/>
          <w:color w:val="auto"/>
        </w:rPr>
      </w:pPr>
    </w:p>
    <w:p>
      <w:pPr>
        <w:ind w:right="20" w:firstLine="885"/>
        <w:spacing w:after="0" w:line="270" w:lineRule="auto"/>
        <w:tabs>
          <w:tab w:leader="none" w:pos="1681" w:val="left"/>
        </w:tabs>
        <w:numPr>
          <w:ilvl w:val="0"/>
          <w:numId w:val="33"/>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3.1(f)</w:t>
      </w:r>
      <w:r>
        <w:rPr>
          <w:rFonts w:ascii="Arial" w:cs="Arial" w:eastAsia="Arial" w:hAnsi="Arial"/>
          <w:sz w:val="21"/>
          <w:szCs w:val="21"/>
          <w:color w:val="auto"/>
        </w:rPr>
        <w:t>. Section 3.1(f) of the Agreement is hereby amended to delete subparagraphs (4), (5) and (6) in their</w:t>
      </w:r>
      <w:r>
        <w:rPr>
          <w:rFonts w:ascii="Arial" w:cs="Arial" w:eastAsia="Arial" w:hAnsi="Arial"/>
          <w:sz w:val="21"/>
          <w:szCs w:val="21"/>
          <w:b w:val="1"/>
          <w:bCs w:val="1"/>
          <w:color w:val="auto"/>
        </w:rPr>
        <w:t xml:space="preserve"> </w:t>
      </w:r>
      <w:r>
        <w:rPr>
          <w:rFonts w:ascii="Arial" w:cs="Arial" w:eastAsia="Arial" w:hAnsi="Arial"/>
          <w:sz w:val="21"/>
          <w:szCs w:val="21"/>
          <w:color w:val="auto"/>
        </w:rPr>
        <w:t>entirety and replace them with the following:</w:t>
      </w:r>
    </w:p>
    <w:p>
      <w:pPr>
        <w:spacing w:after="0" w:line="16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“(4) $[</w:t>
      </w:r>
      <w:r>
        <w:rPr>
          <w:rFonts w:ascii="Arial" w:cs="Arial" w:eastAsia="Arial" w:hAnsi="Arial"/>
          <w:sz w:val="19"/>
          <w:szCs w:val="19"/>
          <w:color w:val="auto"/>
        </w:rPr>
        <w:t>…***…</w:t>
      </w:r>
      <w:r>
        <w:rPr>
          <w:rFonts w:ascii="Arial" w:cs="Arial" w:eastAsia="Arial" w:hAnsi="Arial"/>
          <w:sz w:val="21"/>
          <w:szCs w:val="21"/>
          <w:color w:val="auto"/>
        </w:rPr>
        <w:t>];</w:t>
      </w:r>
    </w:p>
    <w:p>
      <w:pPr>
        <w:spacing w:after="0" w:line="218" w:lineRule="exact"/>
        <w:rPr>
          <w:sz w:val="20"/>
          <w:szCs w:val="20"/>
          <w:color w:val="auto"/>
        </w:rPr>
      </w:pPr>
    </w:p>
    <w:p>
      <w:pPr>
        <w:ind w:left="2060" w:hanging="297"/>
        <w:spacing w:after="0"/>
        <w:tabs>
          <w:tab w:leader="none" w:pos="2060" w:val="left"/>
        </w:tabs>
        <w:numPr>
          <w:ilvl w:val="2"/>
          <w:numId w:val="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19"/>
          <w:szCs w:val="19"/>
          <w:color w:val="auto"/>
        </w:rPr>
        <w:t>…***…</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ind w:left="2060" w:hanging="297"/>
        <w:spacing w:after="0"/>
        <w:tabs>
          <w:tab w:leader="none" w:pos="2060" w:val="left"/>
        </w:tabs>
        <w:numPr>
          <w:ilvl w:val="2"/>
          <w:numId w:val="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19"/>
          <w:szCs w:val="19"/>
          <w:color w:val="auto"/>
        </w:rPr>
        <w:t>…***…</w:t>
      </w:r>
      <w:r>
        <w:rPr>
          <w:rFonts w:ascii="Arial" w:cs="Arial" w:eastAsia="Arial" w:hAnsi="Arial"/>
          <w:sz w:val="21"/>
          <w:szCs w:val="21"/>
          <w:color w:val="auto"/>
        </w:rPr>
        <w:t>]; and”</w:t>
      </w:r>
    </w:p>
    <w:p>
      <w:pPr>
        <w:spacing w:after="0" w:line="200" w:lineRule="exact"/>
        <w:rPr>
          <w:rFonts w:ascii="Arial" w:cs="Arial" w:eastAsia="Arial" w:hAnsi="Arial"/>
          <w:sz w:val="21"/>
          <w:szCs w:val="21"/>
          <w:color w:val="auto"/>
        </w:rPr>
      </w:pPr>
    </w:p>
    <w:p>
      <w:pPr>
        <w:spacing w:after="0" w:line="254" w:lineRule="exact"/>
        <w:rPr>
          <w:rFonts w:ascii="Arial" w:cs="Arial" w:eastAsia="Arial" w:hAnsi="Arial"/>
          <w:sz w:val="21"/>
          <w:szCs w:val="21"/>
          <w:color w:val="auto"/>
        </w:rPr>
      </w:pPr>
    </w:p>
    <w:p>
      <w:pPr>
        <w:ind w:left="1680" w:hanging="795"/>
        <w:spacing w:after="0"/>
        <w:tabs>
          <w:tab w:leader="none" w:pos="1680" w:val="left"/>
        </w:tabs>
        <w:numPr>
          <w:ilvl w:val="1"/>
          <w:numId w:val="35"/>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3.2</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3.2 of the Agreement is hereby amended to replace “$2,715,000” with “$2,100,000”.</w:t>
      </w:r>
    </w:p>
    <w:p>
      <w:pPr>
        <w:spacing w:after="0" w:line="229" w:lineRule="exact"/>
        <w:rPr>
          <w:rFonts w:ascii="Arial" w:cs="Arial" w:eastAsia="Arial" w:hAnsi="Arial"/>
          <w:sz w:val="20"/>
          <w:szCs w:val="20"/>
          <w:color w:val="auto"/>
        </w:rPr>
      </w:pPr>
    </w:p>
    <w:p>
      <w:pPr>
        <w:jc w:val="both"/>
        <w:ind w:firstLine="885"/>
        <w:spacing w:after="0" w:line="295" w:lineRule="auto"/>
        <w:tabs>
          <w:tab w:leader="none" w:pos="1681" w:val="left"/>
        </w:tabs>
        <w:numPr>
          <w:ilvl w:val="1"/>
          <w:numId w:val="35"/>
        </w:numPr>
        <w:rPr>
          <w:rFonts w:ascii="Arial" w:cs="Arial" w:eastAsia="Arial" w:hAnsi="Arial"/>
          <w:sz w:val="19"/>
          <w:szCs w:val="19"/>
          <w:color w:val="auto"/>
        </w:rPr>
      </w:pPr>
      <w:r>
        <w:rPr>
          <w:rFonts w:ascii="Arial" w:cs="Arial" w:eastAsia="Arial" w:hAnsi="Arial"/>
          <w:sz w:val="19"/>
          <w:szCs w:val="19"/>
          <w:b w:val="1"/>
          <w:bCs w:val="1"/>
          <w:u w:val="single" w:color="auto"/>
          <w:color w:val="auto"/>
        </w:rPr>
        <w:t>Continuing Effect</w:t>
      </w:r>
      <w:r>
        <w:rPr>
          <w:rFonts w:ascii="Arial" w:cs="Arial" w:eastAsia="Arial" w:hAnsi="Arial"/>
          <w:sz w:val="19"/>
          <w:szCs w:val="19"/>
          <w:b w:val="1"/>
          <w:bCs w:val="1"/>
          <w:color w:val="auto"/>
        </w:rPr>
        <w:t xml:space="preserve">. </w:t>
      </w:r>
      <w:r>
        <w:rPr>
          <w:rFonts w:ascii="Arial" w:cs="Arial" w:eastAsia="Arial" w:hAnsi="Arial"/>
          <w:sz w:val="19"/>
          <w:szCs w:val="19"/>
          <w:color w:val="auto"/>
        </w:rPr>
        <w:t>All references to the “Agreement” in the Agreement shall hereinafter refer to the Agreement as</w:t>
      </w:r>
      <w:r>
        <w:rPr>
          <w:rFonts w:ascii="Arial" w:cs="Arial" w:eastAsia="Arial" w:hAnsi="Arial"/>
          <w:sz w:val="19"/>
          <w:szCs w:val="19"/>
          <w:b w:val="1"/>
          <w:bCs w:val="1"/>
          <w:color w:val="auto"/>
        </w:rPr>
        <w:t xml:space="preserve"> </w:t>
      </w:r>
      <w:r>
        <w:rPr>
          <w:rFonts w:ascii="Arial" w:cs="Arial" w:eastAsia="Arial" w:hAnsi="Arial"/>
          <w:sz w:val="19"/>
          <w:szCs w:val="19"/>
          <w:color w:val="auto"/>
        </w:rPr>
        <w:t>further amended by this Amendment. Except as specifically amended by this Amendment, the Agreement shall remain in full force and effect in accordance with its terms. Sections or other headings contained in this Amendment are for reference purposes only and</w:t>
      </w:r>
    </w:p>
    <w:p>
      <w:pPr>
        <w:spacing w:after="0" w:line="140" w:lineRule="exact"/>
        <w:rPr>
          <w:rFonts w:ascii="Arial" w:cs="Arial" w:eastAsia="Arial" w:hAnsi="Arial"/>
          <w:sz w:val="19"/>
          <w:szCs w:val="19"/>
          <w:color w:val="auto"/>
        </w:rPr>
      </w:pPr>
    </w:p>
    <w:p>
      <w:pPr>
        <w:ind w:left="320" w:hanging="312"/>
        <w:spacing w:after="0"/>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p>
      <w:pPr>
        <w:spacing w:after="0" w:line="264" w:lineRule="auto"/>
        <w:rPr>
          <w:sz w:val="20"/>
          <w:szCs w:val="20"/>
          <w:color w:val="auto"/>
        </w:rPr>
      </w:pPr>
      <w:r>
        <w:rPr>
          <w:rFonts w:ascii="Arial" w:cs="Arial" w:eastAsia="Arial" w:hAnsi="Arial"/>
          <w:sz w:val="21"/>
          <w:szCs w:val="21"/>
          <w:color w:val="auto"/>
        </w:rPr>
        <w:t>shall not affect in any way the meaning or interpretation of this Amendment; and no provision of this Amendment shall be interpreted for or against any party because that party or its legal representative drafted the provision.</w:t>
      </w:r>
    </w:p>
    <w:p>
      <w:pPr>
        <w:spacing w:after="0" w:line="165" w:lineRule="exact"/>
        <w:rPr>
          <w:sz w:val="20"/>
          <w:szCs w:val="20"/>
          <w:color w:val="auto"/>
        </w:rPr>
      </w:pPr>
    </w:p>
    <w:p>
      <w:pPr>
        <w:ind w:firstLine="885"/>
        <w:spacing w:after="0" w:line="270" w:lineRule="auto"/>
        <w:tabs>
          <w:tab w:leader="none" w:pos="1681" w:val="left"/>
        </w:tabs>
        <w:numPr>
          <w:ilvl w:val="0"/>
          <w:numId w:val="36"/>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may be executed in counterparts with the same force and effect as if each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signatories had executed the same instrument.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have executed this Amendment as of the Amendment Effective Date.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60" w:type="dxa"/>
            <w:vAlign w:val="bottom"/>
            <w:gridSpan w:val="2"/>
          </w:tcPr>
          <w:p>
            <w:pPr>
              <w:spacing w:after="0"/>
              <w:rPr>
                <w:sz w:val="20"/>
                <w:szCs w:val="20"/>
                <w:color w:val="auto"/>
              </w:rPr>
            </w:pPr>
            <w:r>
              <w:rPr>
                <w:rFonts w:ascii="Arial" w:cs="Arial" w:eastAsia="Arial" w:hAnsi="Arial"/>
                <w:sz w:val="21"/>
                <w:szCs w:val="21"/>
                <w:b w:val="1"/>
                <w:bCs w:val="1"/>
                <w:color w:val="auto"/>
              </w:rPr>
              <w:t>K</w:t>
            </w:r>
            <w:r>
              <w:rPr>
                <w:rFonts w:ascii="Arial" w:cs="Arial" w:eastAsia="Arial" w:hAnsi="Arial"/>
                <w:sz w:val="14"/>
                <w:szCs w:val="14"/>
                <w:b w:val="1"/>
                <w:bCs w:val="1"/>
                <w:color w:val="auto"/>
              </w:rPr>
              <w:t>URA</w:t>
            </w:r>
            <w:r>
              <w:rPr>
                <w:rFonts w:ascii="Arial" w:cs="Arial" w:eastAsia="Arial" w:hAnsi="Arial"/>
                <w:sz w:val="21"/>
                <w:szCs w:val="21"/>
                <w:b w:val="1"/>
                <w:bCs w:val="1"/>
                <w:color w:val="auto"/>
              </w:rPr>
              <w:t xml:space="preserve"> O</w:t>
            </w:r>
            <w:r>
              <w:rPr>
                <w:rFonts w:ascii="Arial" w:cs="Arial" w:eastAsia="Arial" w:hAnsi="Arial"/>
                <w:sz w:val="14"/>
                <w:szCs w:val="14"/>
                <w:b w:val="1"/>
                <w:bCs w:val="1"/>
                <w:color w:val="auto"/>
              </w:rPr>
              <w:t>NCOLOGY</w:t>
            </w:r>
            <w:r>
              <w:rPr>
                <w:rFonts w:ascii="Arial" w:cs="Arial" w:eastAsia="Arial" w:hAnsi="Arial"/>
                <w:sz w:val="21"/>
                <w:szCs w:val="21"/>
                <w:b w:val="1"/>
                <w:bCs w:val="1"/>
                <w:color w:val="auto"/>
              </w:rPr>
              <w:t>, I</w:t>
            </w:r>
            <w:r>
              <w:rPr>
                <w:rFonts w:ascii="Arial" w:cs="Arial" w:eastAsia="Arial" w:hAnsi="Arial"/>
                <w:sz w:val="14"/>
                <w:szCs w:val="14"/>
                <w:b w:val="1"/>
                <w:bCs w:val="1"/>
                <w:color w:val="auto"/>
              </w:rPr>
              <w:t>NC</w:t>
            </w:r>
            <w:r>
              <w:rPr>
                <w:rFonts w:ascii="Arial" w:cs="Arial" w:eastAsia="Arial" w:hAnsi="Arial"/>
                <w:sz w:val="21"/>
                <w:szCs w:val="21"/>
                <w:b w:val="1"/>
                <w:bCs w:val="1"/>
                <w:color w:val="auto"/>
              </w:rPr>
              <w:t>.</w:t>
            </w:r>
          </w:p>
        </w:tc>
        <w:tc>
          <w:tcPr>
            <w:tcW w:w="6460" w:type="dxa"/>
            <w:vAlign w:val="bottom"/>
            <w:gridSpan w:val="2"/>
          </w:tcPr>
          <w:p>
            <w:pPr>
              <w:ind w:left="160"/>
              <w:spacing w:after="0"/>
              <w:rPr>
                <w:sz w:val="20"/>
                <w:szCs w:val="20"/>
                <w:color w:val="auto"/>
              </w:rPr>
            </w:pPr>
            <w:r>
              <w:rPr>
                <w:rFonts w:ascii="Arial" w:cs="Arial" w:eastAsia="Arial" w:hAnsi="Arial"/>
                <w:sz w:val="21"/>
                <w:szCs w:val="21"/>
                <w:b w:val="1"/>
                <w:bCs w:val="1"/>
                <w:color w:val="auto"/>
              </w:rPr>
              <w:t>R</w:t>
            </w:r>
            <w:r>
              <w:rPr>
                <w:rFonts w:ascii="Arial" w:cs="Arial" w:eastAsia="Arial" w:hAnsi="Arial"/>
                <w:sz w:val="14"/>
                <w:szCs w:val="14"/>
                <w:b w:val="1"/>
                <w:bCs w:val="1"/>
                <w:color w:val="auto"/>
              </w:rPr>
              <w:t>EGENTS OF THE</w:t>
            </w:r>
            <w:r>
              <w:rPr>
                <w:rFonts w:ascii="Arial" w:cs="Arial" w:eastAsia="Arial" w:hAnsi="Arial"/>
                <w:sz w:val="21"/>
                <w:szCs w:val="21"/>
                <w:b w:val="1"/>
                <w:bCs w:val="1"/>
                <w:color w:val="auto"/>
              </w:rPr>
              <w:t xml:space="preserve"> U</w:t>
            </w:r>
            <w:r>
              <w:rPr>
                <w:rFonts w:ascii="Arial" w:cs="Arial" w:eastAsia="Arial" w:hAnsi="Arial"/>
                <w:sz w:val="14"/>
                <w:szCs w:val="14"/>
                <w:b w:val="1"/>
                <w:bCs w:val="1"/>
                <w:color w:val="auto"/>
              </w:rPr>
              <w:t>NIVERSITY OF</w:t>
            </w:r>
            <w:r>
              <w:rPr>
                <w:rFonts w:ascii="Arial" w:cs="Arial" w:eastAsia="Arial" w:hAnsi="Arial"/>
                <w:sz w:val="21"/>
                <w:szCs w:val="21"/>
                <w:b w:val="1"/>
                <w:bCs w:val="1"/>
                <w:color w:val="auto"/>
              </w:rPr>
              <w:t xml:space="preserve"> M</w:t>
            </w:r>
            <w:r>
              <w:rPr>
                <w:rFonts w:ascii="Arial" w:cs="Arial" w:eastAsia="Arial" w:hAnsi="Arial"/>
                <w:sz w:val="14"/>
                <w:szCs w:val="14"/>
                <w:b w:val="1"/>
                <w:bCs w:val="1"/>
                <w:color w:val="auto"/>
              </w:rPr>
              <w:t>ICHIGAN</w:t>
            </w:r>
          </w:p>
        </w:tc>
      </w:tr>
      <w:tr>
        <w:trPr>
          <w:trHeight w:val="573"/>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Heidi Henson</w:t>
            </w:r>
          </w:p>
        </w:tc>
        <w:tc>
          <w:tcPr>
            <w:tcW w:w="1000" w:type="dxa"/>
            <w:vAlign w:val="bottom"/>
          </w:tcPr>
          <w:p>
            <w:pPr>
              <w:ind w:left="160"/>
              <w:spacing w:after="0"/>
              <w:rPr>
                <w:sz w:val="20"/>
                <w:szCs w:val="20"/>
                <w:color w:val="auto"/>
              </w:rPr>
            </w:pPr>
            <w:r>
              <w:rPr>
                <w:rFonts w:ascii="Arial" w:cs="Arial" w:eastAsia="Arial" w:hAnsi="Arial"/>
                <w:sz w:val="20"/>
                <w:szCs w:val="20"/>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Kenneth J. Nisbet</w:t>
            </w:r>
          </w:p>
        </w:tc>
      </w:tr>
      <w:tr>
        <w:trPr>
          <w:trHeight w:val="480"/>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4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Heidi Henson</w:t>
            </w:r>
          </w:p>
        </w:tc>
        <w:tc>
          <w:tcPr>
            <w:tcW w:w="1000" w:type="dxa"/>
            <w:vAlign w:val="bottom"/>
          </w:tcPr>
          <w:p>
            <w:pPr>
              <w:ind w:left="160"/>
              <w:spacing w:after="0"/>
              <w:rPr>
                <w:sz w:val="20"/>
                <w:szCs w:val="20"/>
                <w:color w:val="auto"/>
              </w:rPr>
            </w:pPr>
            <w:r>
              <w:rPr>
                <w:rFonts w:ascii="Arial" w:cs="Arial" w:eastAsia="Arial" w:hAnsi="Arial"/>
                <w:sz w:val="20"/>
                <w:szCs w:val="20"/>
                <w:color w:val="auto"/>
              </w:rPr>
              <w:t>Name:</w:t>
            </w:r>
          </w:p>
        </w:tc>
        <w:tc>
          <w:tcPr>
            <w:tcW w:w="54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Kenneth J. Nisbet</w:t>
            </w:r>
          </w:p>
        </w:tc>
      </w:tr>
      <w:tr>
        <w:trPr>
          <w:trHeight w:val="480"/>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0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CFO</w:t>
            </w:r>
          </w:p>
        </w:tc>
        <w:tc>
          <w:tcPr>
            <w:tcW w:w="1000" w:type="dxa"/>
            <w:vAlign w:val="bottom"/>
          </w:tcPr>
          <w:p>
            <w:pPr>
              <w:ind w:left="160"/>
              <w:spacing w:after="0"/>
              <w:rPr>
                <w:sz w:val="20"/>
                <w:szCs w:val="20"/>
                <w:color w:val="auto"/>
              </w:rPr>
            </w:pPr>
            <w:r>
              <w:rPr>
                <w:rFonts w:ascii="Arial" w:cs="Arial" w:eastAsia="Arial" w:hAnsi="Arial"/>
                <w:sz w:val="20"/>
                <w:szCs w:val="20"/>
                <w:color w:val="auto"/>
              </w:rPr>
              <w:t>Title:</w:t>
            </w:r>
          </w:p>
        </w:tc>
        <w:tc>
          <w:tcPr>
            <w:tcW w:w="54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Assoc. V.P. for Research U-M Tech Transfer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2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Troy E. Wilson, Ph.D., J.D., certify that:</w:t>
      </w:r>
    </w:p>
    <w:p>
      <w:pPr>
        <w:spacing w:after="0" w:line="117"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Form 10-Q of Kura Oncology,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Troy E. Wilson, Ph.D., J.D.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Troy E. Wilson,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Heidi Henson, certify that:</w:t>
      </w:r>
    </w:p>
    <w:p>
      <w:pPr>
        <w:spacing w:after="0" w:line="117"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Form 10-Q of Kura Oncology,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Heidi Henson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Heidi 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Secretary</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connection with the Quarterly Report on Form 10-Q of Kura Oncology, Inc. (the “Company”) for the period ended June 30, 2017, as filed with the Securities and Exchange Commission on the date hereof (the “Report”), Troy E. Wilson, Ph.D., J.D., as President and Chief Executive Officer of the Company, and Heidi Henson, as Chief Financial Officer and Secretary of the Company, each hereby certifies, pursuant to 18 U.S.C. Section 1350, as adopted pursuant to Section 906 of the Sarbanes-Oxley Act of 2002, that to the best of his or her knowledge:</w:t>
      </w:r>
    </w:p>
    <w:p>
      <w:pPr>
        <w:spacing w:after="0" w:line="79"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Kura Oncology, Inc. under the Securities Act of 1933, as amended, or the Securities Exchange Act of 1934, as amended (whether made before or after the date of the Form 10-Q), irrespective of any general incorporation language contained in such filing.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40" w:type="dxa"/>
            <w:vAlign w:val="bottom"/>
            <w:gridSpan w:val="2"/>
          </w:tcPr>
          <w:p>
            <w:pPr>
              <w:jc w:val="center"/>
              <w:ind w:right="2300"/>
              <w:spacing w:after="0"/>
              <w:rPr>
                <w:sz w:val="20"/>
                <w:szCs w:val="20"/>
                <w:color w:val="auto"/>
              </w:rPr>
            </w:pPr>
            <w:r>
              <w:rPr>
                <w:rFonts w:ascii="Arial" w:cs="Arial" w:eastAsia="Arial" w:hAnsi="Arial"/>
                <w:sz w:val="18"/>
                <w:szCs w:val="18"/>
                <w:color w:val="auto"/>
                <w:w w:val="91"/>
              </w:rPr>
              <w:t>/s/ Troy E. Wilson, Ph.D., J.D.</w:t>
            </w: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/s/ Heidi Henson</w:t>
            </w:r>
          </w:p>
        </w:tc>
      </w:tr>
      <w:tr>
        <w:trPr>
          <w:trHeight w:val="119"/>
        </w:trPr>
        <w:tc>
          <w:tcPr>
            <w:tcW w:w="20" w:type="dxa"/>
            <w:vAlign w:val="bottom"/>
          </w:tcPr>
          <w:p>
            <w:pPr>
              <w:spacing w:after="0"/>
              <w:rPr>
                <w:sz w:val="10"/>
                <w:szCs w:val="10"/>
                <w:color w:val="auto"/>
              </w:rPr>
            </w:pPr>
          </w:p>
        </w:tc>
        <w:tc>
          <w:tcPr>
            <w:tcW w:w="4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Troy E. Wilson, Ph.D., J.D.</w:t>
            </w:r>
          </w:p>
        </w:tc>
        <w:tc>
          <w:tcPr>
            <w:tcW w:w="2280" w:type="dxa"/>
            <w:vAlign w:val="bottom"/>
          </w:tcPr>
          <w:p>
            <w:pPr>
              <w:spacing w:after="0"/>
              <w:rPr>
                <w:sz w:val="10"/>
                <w:szCs w:val="10"/>
                <w:color w:val="auto"/>
              </w:rPr>
            </w:pPr>
          </w:p>
        </w:tc>
        <w:tc>
          <w:tcPr>
            <w:tcW w:w="4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Heidi Henson</w:t>
            </w:r>
          </w:p>
        </w:tc>
      </w:tr>
      <w:tr>
        <w:trPr>
          <w:trHeight w:val="186"/>
        </w:trPr>
        <w:tc>
          <w:tcPr>
            <w:tcW w:w="20" w:type="dxa"/>
            <w:vAlign w:val="bottom"/>
          </w:tcPr>
          <w:p>
            <w:pPr>
              <w:spacing w:after="0"/>
              <w:rPr>
                <w:sz w:val="16"/>
                <w:szCs w:val="16"/>
                <w:color w:val="auto"/>
              </w:rPr>
            </w:pPr>
          </w:p>
        </w:tc>
        <w:tc>
          <w:tcPr>
            <w:tcW w:w="6840" w:type="dxa"/>
            <w:vAlign w:val="bottom"/>
            <w:gridSpan w:val="2"/>
          </w:tcPr>
          <w:p>
            <w:pPr>
              <w:jc w:val="center"/>
              <w:ind w:right="2300"/>
              <w:spacing w:after="0"/>
              <w:rPr>
                <w:sz w:val="20"/>
                <w:szCs w:val="20"/>
                <w:color w:val="auto"/>
              </w:rPr>
            </w:pPr>
            <w:r>
              <w:rPr>
                <w:rFonts w:ascii="Arial" w:cs="Arial" w:eastAsia="Arial" w:hAnsi="Arial"/>
                <w:sz w:val="14"/>
                <w:szCs w:val="14"/>
                <w:b w:val="1"/>
                <w:bCs w:val="1"/>
                <w:color w:val="auto"/>
                <w:w w:val="93"/>
              </w:rPr>
              <w:t>President and Chief Executive Officer</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4"/>
              </w:rPr>
              <w:t>Chief Financial Officer and Secretary</w:t>
            </w:r>
          </w:p>
        </w:tc>
      </w:tr>
      <w:tr>
        <w:trPr>
          <w:trHeight w:val="458"/>
        </w:trPr>
        <w:tc>
          <w:tcPr>
            <w:tcW w:w="6860" w:type="dxa"/>
            <w:vAlign w:val="bottom"/>
            <w:gridSpan w:val="3"/>
          </w:tcPr>
          <w:p>
            <w:pPr>
              <w:spacing w:after="0"/>
              <w:rPr>
                <w:sz w:val="20"/>
                <w:szCs w:val="20"/>
                <w:color w:val="auto"/>
              </w:rPr>
            </w:pPr>
            <w:r>
              <w:rPr>
                <w:rFonts w:ascii="Arial" w:cs="Arial" w:eastAsia="Arial" w:hAnsi="Arial"/>
                <w:sz w:val="18"/>
                <w:szCs w:val="18"/>
                <w:color w:val="auto"/>
              </w:rPr>
              <w:t>Date: August 7, 2017</w:t>
            </w:r>
          </w:p>
        </w:tc>
        <w:tc>
          <w:tcPr>
            <w:tcW w:w="4560" w:type="dxa"/>
            <w:vAlign w:val="bottom"/>
          </w:tcPr>
          <w:p>
            <w:pPr>
              <w:spacing w:after="0"/>
              <w:rPr>
                <w:sz w:val="20"/>
                <w:szCs w:val="20"/>
                <w:color w:val="auto"/>
              </w:rPr>
            </w:pPr>
            <w:r>
              <w:rPr>
                <w:rFonts w:ascii="Arial" w:cs="Arial" w:eastAsia="Arial" w:hAnsi="Arial"/>
                <w:sz w:val="18"/>
                <w:szCs w:val="18"/>
                <w:color w:val="auto"/>
              </w:rPr>
              <w:t>Date: August 7, 2017</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upperLetter"/>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3"/>
    </w:lvl>
  </w:abstractNum>
  <w:abstractNum w:abstractNumId="33">
    <w:nsid w:val="3804823E"/>
    <w:multiLevelType w:val="hybridMultilevel"/>
    <w:lvl w:ilvl="0">
      <w:lvlJc w:val="left"/>
      <w:lvlText w:val="***"/>
      <w:numFmt w:val="bullet"/>
      <w:start w:val="1"/>
    </w:lvl>
    <w:lvl w:ilvl="1">
      <w:lvlJc w:val="left"/>
      <w:lvlText w:val="%2"/>
      <w:numFmt w:val="decimal"/>
      <w:start w:val="1"/>
    </w:lvl>
    <w:lvl w:ilvl="2">
      <w:lvlJc w:val="left"/>
      <w:lvlText w:val="(%3)"/>
      <w:numFmt w:val="decimal"/>
      <w:start w:val="5"/>
    </w:lvl>
  </w:abstractNum>
  <w:abstractNum w:abstractNumId="34">
    <w:nsid w:val="77465F01"/>
    <w:multiLevelType w:val="hybridMultilevel"/>
    <w:lvl w:ilvl="0">
      <w:lvlJc w:val="left"/>
      <w:lvlText w:val="***"/>
      <w:numFmt w:val="bullet"/>
      <w:start w:val="1"/>
    </w:lvl>
    <w:lvl w:ilvl="1">
      <w:lvlJc w:val="left"/>
      <w:lvlText w:val="%2."/>
      <w:numFmt w:val="decimal"/>
      <w:start w:val="4"/>
    </w:lvl>
    <w:lvl w:ilvl="2">
      <w:lvlJc w:val="left"/>
      <w:lvlText w:val="%3"/>
      <w:numFmt w:val="decimal"/>
      <w:start w:val="1"/>
    </w:lvl>
  </w:abstractNum>
  <w:abstractNum w:abstractNumId="35">
    <w:nsid w:val="7724C67E"/>
    <w:multiLevelType w:val="hybridMultilevel"/>
    <w:lvl w:ilvl="0">
      <w:lvlJc w:val="left"/>
      <w:lvlText w:val="%1."/>
      <w:numFmt w:val="decimal"/>
      <w:start w:val="6"/>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2019-12-29T05:22:53Z</dcterms:created>
  <dcterms:modified xsi:type="dcterms:W3CDTF">2019-12-29T05:22:53Z</dcterms:modified>
</cp:coreProperties>
</file>