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rFonts w:ascii="MS PGothic" w:cs="MS PGothic" w:eastAsia="MS PGothic" w:hAnsi="MS PGothic"/>
          <w:sz w:val="20"/>
          <w:szCs w:val="20"/>
          <w:color w:val="auto"/>
          <w:highlight w:val="black"/>
        </w:rPr>
      </w:pPr>
    </w:p>
    <w:p>
      <w:pPr>
        <w:ind w:left="3480"/>
        <w:spacing w:after="0" w:line="230" w:lineRule="auto"/>
        <w:rPr>
          <w:rFonts w:ascii="MS PGothic" w:cs="MS PGothic" w:eastAsia="MS PGothic" w:hAnsi="MS PGothic"/>
          <w:sz w:val="20"/>
          <w:szCs w:val="20"/>
          <w:color w:val="auto"/>
          <w:highlight w:val="black"/>
        </w:rPr>
      </w:pPr>
      <w:r>
        <w:rPr>
          <w:rFonts w:ascii="Arial" w:cs="Arial" w:eastAsia="Arial" w:hAnsi="Arial"/>
          <w:sz w:val="22"/>
          <w:szCs w:val="22"/>
          <w:b w:val="1"/>
          <w:bCs w:val="1"/>
          <w:color w:val="auto"/>
        </w:rPr>
        <w:t>For the Quarterly Period Ended March 31, 2016</w:t>
      </w:r>
    </w:p>
    <w:p>
      <w:pPr>
        <w:jc w:val="center"/>
        <w:ind w:right="-39"/>
        <w:spacing w:after="0" w:line="233" w:lineRule="auto"/>
        <w:rPr>
          <w:sz w:val="20"/>
          <w:szCs w:val="20"/>
          <w:color w:val="auto"/>
        </w:rPr>
      </w:pPr>
      <w:r>
        <w:rPr>
          <w:rFonts w:ascii="Arial" w:cs="Arial" w:eastAsia="Arial" w:hAnsi="Arial"/>
          <w:sz w:val="22"/>
          <w:szCs w:val="22"/>
          <w:b w:val="1"/>
          <w:bCs w:val="1"/>
          <w:color w:val="auto"/>
        </w:rPr>
        <w:t>or</w:t>
      </w:r>
    </w:p>
    <w:p>
      <w:pPr>
        <w:spacing w:after="0" w:line="1" w:lineRule="exact"/>
        <w:rPr>
          <w:sz w:val="24"/>
          <w:szCs w:val="24"/>
          <w:color w:val="auto"/>
        </w:rPr>
      </w:pPr>
    </w:p>
    <w:p>
      <w:pPr>
        <w:ind w:left="520" w:hanging="512"/>
        <w:spacing w:after="0"/>
        <w:tabs>
          <w:tab w:leader="none" w:pos="5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0" w:lineRule="exact"/>
        <w:rPr>
          <w:rFonts w:ascii="Arial" w:cs="Arial" w:eastAsia="Arial" w:hAnsi="Arial"/>
          <w:sz w:val="20"/>
          <w:szCs w:val="20"/>
          <w:b w:val="1"/>
          <w:bCs w:val="1"/>
          <w:color w:val="auto"/>
        </w:rPr>
      </w:pPr>
    </w:p>
    <w:p>
      <w:pPr>
        <w:ind w:left="3620"/>
        <w:spacing w:after="0"/>
        <w:rPr>
          <w:rFonts w:ascii="Arial" w:cs="Arial" w:eastAsia="Arial" w:hAnsi="Arial"/>
          <w:sz w:val="20"/>
          <w:szCs w:val="20"/>
          <w:b w:val="1"/>
          <w:bCs w:val="1"/>
          <w:color w:val="auto"/>
        </w:rPr>
      </w:pPr>
      <w:r>
        <w:rPr>
          <w:rFonts w:ascii="Arial" w:cs="Arial" w:eastAsia="Arial" w:hAnsi="Arial"/>
          <w:sz w:val="18"/>
          <w:szCs w:val="18"/>
          <w:b w:val="1"/>
          <w:bCs w:val="1"/>
          <w:color w:val="auto"/>
        </w:rPr>
        <w:t>For the Transition Period From ________ To ________</w:t>
      </w:r>
    </w:p>
    <w:p>
      <w:pPr>
        <w:spacing w:after="0" w:line="108" w:lineRule="exact"/>
        <w:rPr>
          <w:rFonts w:ascii="Arial" w:cs="Arial" w:eastAsia="Arial" w:hAnsi="Arial"/>
          <w:sz w:val="20"/>
          <w:szCs w:val="20"/>
          <w:b w:val="1"/>
          <w:bCs w:val="1"/>
          <w:color w:val="auto"/>
        </w:rPr>
      </w:pPr>
    </w:p>
    <w:p>
      <w:pPr>
        <w:ind w:left="4040"/>
        <w:spacing w:after="0"/>
        <w:rPr>
          <w:rFonts w:ascii="Arial" w:cs="Arial" w:eastAsia="Arial" w:hAnsi="Arial"/>
          <w:sz w:val="20"/>
          <w:szCs w:val="20"/>
          <w:b w:val="1"/>
          <w:bCs w:val="1"/>
          <w:color w:val="auto"/>
        </w:rPr>
      </w:pPr>
      <w:r>
        <w:rPr>
          <w:rFonts w:ascii="Arial" w:cs="Arial" w:eastAsia="Arial" w:hAnsi="Arial"/>
          <w:sz w:val="22"/>
          <w:szCs w:val="22"/>
          <w:b w:val="1"/>
          <w:bCs w:val="1"/>
          <w:color w:val="auto"/>
        </w:rPr>
        <w:t>Commission file number: 001-37620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71120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KURA ONCOLOGY,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7060" w:type="dxa"/>
            <w:vAlign w:val="bottom"/>
            <w:gridSpan w:val="3"/>
          </w:tcPr>
          <w:p>
            <w:pPr>
              <w:jc w:val="center"/>
              <w:ind w:right="2800"/>
              <w:spacing w:after="0"/>
              <w:rPr>
                <w:sz w:val="20"/>
                <w:szCs w:val="20"/>
                <w:color w:val="auto"/>
              </w:rPr>
            </w:pPr>
            <w:r>
              <w:rPr>
                <w:rFonts w:ascii="Arial" w:cs="Arial" w:eastAsia="Arial" w:hAnsi="Arial"/>
                <w:sz w:val="18"/>
                <w:szCs w:val="18"/>
                <w:b w:val="1"/>
                <w:bCs w:val="1"/>
                <w:color w:val="auto"/>
                <w:w w:val="93"/>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61-1547851</w:t>
            </w:r>
          </w:p>
        </w:tc>
      </w:tr>
      <w:tr>
        <w:trPr>
          <w:trHeight w:val="149"/>
        </w:trPr>
        <w:tc>
          <w:tcPr>
            <w:tcW w:w="7060" w:type="dxa"/>
            <w:vAlign w:val="bottom"/>
            <w:gridSpan w:val="3"/>
          </w:tcPr>
          <w:p>
            <w:pPr>
              <w:jc w:val="center"/>
              <w:ind w:right="28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60" w:type="dxa"/>
            <w:vAlign w:val="bottom"/>
            <w:gridSpan w:val="3"/>
          </w:tcPr>
          <w:p>
            <w:pPr>
              <w:jc w:val="center"/>
              <w:ind w:right="2800"/>
              <w:spacing w:after="0"/>
              <w:rPr>
                <w:sz w:val="20"/>
                <w:szCs w:val="20"/>
                <w:color w:val="auto"/>
              </w:rPr>
            </w:pPr>
            <w:r>
              <w:rPr>
                <w:rFonts w:ascii="Arial" w:cs="Arial" w:eastAsia="Arial" w:hAnsi="Arial"/>
                <w:sz w:val="14"/>
                <w:szCs w:val="14"/>
                <w:b w:val="1"/>
                <w:bCs w:val="1"/>
                <w:color w:val="auto"/>
                <w:w w:val="95"/>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300"/>
        </w:trPr>
        <w:tc>
          <w:tcPr>
            <w:tcW w:w="7060" w:type="dxa"/>
            <w:vAlign w:val="bottom"/>
            <w:gridSpan w:val="3"/>
          </w:tcPr>
          <w:p>
            <w:pPr>
              <w:jc w:val="center"/>
              <w:ind w:right="2800"/>
              <w:spacing w:after="0"/>
              <w:rPr>
                <w:sz w:val="20"/>
                <w:szCs w:val="20"/>
                <w:color w:val="auto"/>
              </w:rPr>
            </w:pPr>
            <w:r>
              <w:rPr>
                <w:rFonts w:ascii="Arial" w:cs="Arial" w:eastAsia="Arial" w:hAnsi="Arial"/>
                <w:sz w:val="18"/>
                <w:szCs w:val="18"/>
                <w:b w:val="1"/>
                <w:bCs w:val="1"/>
                <w:color w:val="auto"/>
                <w:w w:val="90"/>
              </w:rPr>
              <w:t>11119 North Torrey Pines Road, Suite 125, La Jolla, CA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7060" w:type="dxa"/>
            <w:vAlign w:val="bottom"/>
            <w:gridSpan w:val="3"/>
          </w:tcPr>
          <w:p>
            <w:pPr>
              <w:jc w:val="center"/>
              <w:ind w:right="28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6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(858) 500-8800</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7060" w:type="dxa"/>
            <w:vAlign w:val="bottom"/>
            <w:gridSpan w:val="3"/>
          </w:tcPr>
          <w:p>
            <w:pPr>
              <w:jc w:val="center"/>
              <w:ind w:left="294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r>
        <w:trPr>
          <w:trHeight w:val="66"/>
        </w:trPr>
        <w:tc>
          <w:tcPr>
            <w:tcW w:w="390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1440" w:type="dxa"/>
            <w:vAlign w:val="bottom"/>
          </w:tcPr>
          <w:p>
            <w:pPr>
              <w:spacing w:after="0"/>
              <w:rPr>
                <w:sz w:val="5"/>
                <w:szCs w:val="5"/>
                <w:color w:val="auto"/>
              </w:rPr>
            </w:pPr>
          </w:p>
        </w:tc>
      </w:tr>
    </w:tbl>
    <w:p>
      <w:pPr>
        <w:spacing w:after="0" w:line="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or a smaller reporting company. See the definitions of “large accelerated filer,” “accelerated filer,” “smaller reporting company” in Rule 12b-2 of the Exchange Act.</w:t>
      </w:r>
    </w:p>
    <w:p>
      <w:pPr>
        <w:sectPr>
          <w:pgSz w:w="11900" w:h="16838" w:orient="portrait"/>
          <w:cols w:equalWidth="0" w:num="1">
            <w:col w:w="11420"/>
          </w:cols>
          <w:pgMar w:left="240" w:top="355" w:right="239" w:bottom="1440" w:gutter="0" w:footer="0" w:header="0"/>
        </w:sectPr>
      </w:pP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09" w:lineRule="exact"/>
        <w:rPr>
          <w:sz w:val="24"/>
          <w:szCs w:val="24"/>
          <w:color w:val="auto"/>
        </w:rPr>
      </w:pPr>
    </w:p>
    <w:p>
      <w:pPr>
        <w:sectPr>
          <w:pgSz w:w="11900" w:h="16838" w:orient="portrait"/>
          <w:cols w:equalWidth="0" w:num="4">
            <w:col w:w="1620" w:space="520"/>
            <w:col w:w="5620" w:space="720"/>
            <w:col w:w="1840" w:space="720"/>
            <w:col w:w="380"/>
          </w:cols>
          <w:pgMar w:left="240" w:top="355"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540" w:space="600"/>
            <w:col w:w="5620" w:space="720"/>
            <w:col w:w="1980" w:space="580"/>
            <w:col w:w="380"/>
          </w:cols>
          <w:pgMar w:left="240" w:top="355"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4">
            <w:col w:w="7920" w:space="180"/>
            <w:col w:w="440" w:space="180"/>
            <w:col w:w="220" w:space="80"/>
            <w:col w:w="2400"/>
          </w:cols>
          <w:pgMar w:left="240" w:top="355"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the close of business on May 6, 2016, the registrant had 21,370,560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KURA ONCOLOGY,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4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r>
      <w:tr>
        <w:trPr>
          <w:trHeight w:val="318"/>
        </w:trPr>
        <w:tc>
          <w:tcPr>
            <w:tcW w:w="58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9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 As of March 31, 2016 (unaudited) and December 31, 2015</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Statements of Operations and Comprehensive Loss − Three Months Ended March 31, 2016 and 2015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60" w:type="dxa"/>
            <w:vAlign w:val="bottom"/>
            <w:tcBorders>
              <w:top w:val="single" w:sz="8" w:color="0000EE"/>
            </w:tcBorders>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 Three Months Ended March 31, 2016 and 2015 (unaudited)</w:t>
              </w:r>
            </w:hyperlink>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40" w:type="dxa"/>
            <w:vAlign w:val="bottom"/>
            <w:tcBorders>
              <w:top w:val="single" w:sz="8" w:color="0000EE"/>
            </w:tcBorders>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 (unaudited)</w:t>
              </w:r>
            </w:hyperlink>
          </w:p>
        </w:tc>
        <w:tc>
          <w:tcPr>
            <w:tcW w:w="256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58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58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92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58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4. Controls and Procedures</w:t>
              </w:r>
            </w:hyperlink>
          </w:p>
        </w:tc>
        <w:tc>
          <w:tcPr>
            <w:tcW w:w="760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9"/>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OTHER INFORMATION</w:t>
              </w:r>
            </w:hyperlink>
          </w:p>
        </w:tc>
        <w:tc>
          <w:tcPr>
            <w:tcW w:w="7740" w:type="dxa"/>
            <w:vAlign w:val="bottom"/>
            <w:gridSpan w:val="9"/>
          </w:tcPr>
          <w:p>
            <w:pPr>
              <w:spacing w:after="0"/>
              <w:rPr>
                <w:sz w:val="24"/>
                <w:szCs w:val="24"/>
                <w:color w:val="auto"/>
              </w:rPr>
            </w:pPr>
          </w:p>
        </w:tc>
        <w:tc>
          <w:tcPr>
            <w:tcW w:w="920" w:type="dxa"/>
            <w:vAlign w:val="bottom"/>
          </w:tcPr>
          <w:p>
            <w:pPr>
              <w:spacing w:after="0"/>
              <w:rPr>
                <w:sz w:val="24"/>
                <w:szCs w:val="24"/>
                <w:color w:val="auto"/>
              </w:rPr>
            </w:pPr>
          </w:p>
        </w:tc>
      </w:tr>
      <w:tr>
        <w:trPr>
          <w:trHeight w:val="318"/>
        </w:trPr>
        <w:tc>
          <w:tcPr>
            <w:tcW w:w="580" w:type="dxa"/>
            <w:vAlign w:val="bottom"/>
          </w:tcPr>
          <w:p>
            <w:pPr>
              <w:spacing w:after="0"/>
              <w:rPr>
                <w:sz w:val="24"/>
                <w:szCs w:val="24"/>
                <w:color w:val="auto"/>
              </w:rPr>
            </w:pPr>
          </w:p>
        </w:tc>
        <w:tc>
          <w:tcPr>
            <w:tcW w:w="19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1. Legal Proceedings</w:t>
              </w:r>
            </w:hyperlink>
          </w:p>
        </w:tc>
        <w:tc>
          <w:tcPr>
            <w:tcW w:w="804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580" w:type="dxa"/>
            <w:vAlign w:val="bottom"/>
          </w:tcPr>
          <w:p>
            <w:pPr>
              <w:spacing w:after="0"/>
              <w:rPr>
                <w:sz w:val="24"/>
                <w:szCs w:val="24"/>
                <w:color w:val="auto"/>
              </w:rPr>
            </w:pPr>
          </w:p>
        </w:tc>
        <w:tc>
          <w:tcPr>
            <w:tcW w:w="1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1A. Risk Factors</w:t>
              </w:r>
            </w:hyperlink>
          </w:p>
        </w:tc>
        <w:tc>
          <w:tcPr>
            <w:tcW w:w="834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58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6. 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5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8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10520" w:type="dxa"/>
            <w:vAlign w:val="bottom"/>
            <w:gridSpan w:val="16"/>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Signatures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540"/>
        </w:trPr>
        <w:tc>
          <w:tcPr>
            <w:tcW w:w="5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KURA ONCOLOGY, INC.</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Condensed Balance Sheets</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thousands, except par value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4"/>
              </w:rPr>
              <w:t>March 31,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w w:val="89"/>
              </w:rPr>
              <w:t>2016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31"/>
              <w:spacing w:after="0" w:line="216" w:lineRule="exact"/>
              <w:rPr>
                <w:sz w:val="20"/>
                <w:szCs w:val="20"/>
                <w:color w:val="auto"/>
              </w:rPr>
            </w:pPr>
            <w:r>
              <w:rPr>
                <w:rFonts w:ascii="Arial" w:cs="Arial" w:eastAsia="Arial" w:hAnsi="Arial"/>
                <w:sz w:val="15"/>
                <w:szCs w:val="15"/>
                <w:b w:val="1"/>
                <w:bCs w:val="1"/>
                <w:color w:val="auto"/>
              </w:rPr>
              <w:t xml:space="preserve">2015 </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4"/>
              </w:rPr>
              <w:t>(Unaudited)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16,326</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62,140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related party</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 related party</w:t>
            </w: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80,382</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Accounts payable and accrued expenses, related party</w:t>
            </w: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liabilities</w:t>
            </w:r>
          </w:p>
        </w:tc>
        <w:tc>
          <w:tcPr>
            <w:tcW w:w="1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Preferred stock, $0.0001 par value; 10,000 shares authorized;</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no shares issued and outstanding</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200,000 shares authorized;</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21,371 shares issued; and 18,441 and 18,138 shares outstanding</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as of March 31, 2016 and December 31, 2015, respectively,</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excluding 2,930 and 3,233 shares subject to repurchase</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as of March 31, 2016 and December 31, 2015, respectively</w:t>
            </w: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108,975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108,484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(32,922)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(26,296)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stockholders' equity</w:t>
            </w:r>
          </w:p>
        </w:tc>
        <w:tc>
          <w:tcPr>
            <w:tcW w:w="1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76,066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1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80,382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balance sheet data at December 31, 2015 has been derived from audited financial statements at that date. It does not include, however, all of the information and notes required by U.S. generally accepted accounting principles for complete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KURA ONCOLOGY,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Three Months Ended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2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6"/>
                <w:szCs w:val="16"/>
                <w:b w:val="1"/>
                <w:bCs w:val="1"/>
                <w:color w:val="auto"/>
              </w:rPr>
              <w:t>March 31,</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2016</w:t>
            </w: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5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jc w:val="right"/>
              <w:ind w:right="13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3,567</w:t>
            </w:r>
          </w:p>
        </w:tc>
        <w:tc>
          <w:tcPr>
            <w:tcW w:w="26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related party</w:t>
            </w:r>
          </w:p>
        </w:tc>
        <w:tc>
          <w:tcPr>
            <w:tcW w:w="15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2,365</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related party</w:t>
            </w:r>
          </w:p>
        </w:tc>
        <w:tc>
          <w:tcPr>
            <w:tcW w:w="15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w:t>
            </w: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1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Management fee income, related party</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party</w:t>
            </w:r>
          </w:p>
        </w:tc>
        <w:tc>
          <w:tcPr>
            <w:tcW w:w="15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15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540" w:type="dxa"/>
            <w:vAlign w:val="bottom"/>
            <w:tcBorders>
              <w:bottom w:val="single" w:sz="8" w:color="auto"/>
            </w:tcBorders>
            <w:shd w:val="clear" w:color="auto" w:fill="CFF0FC"/>
          </w:tcPr>
          <w:p>
            <w:pPr>
              <w:jc w:val="right"/>
              <w:ind w:right="13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w:t>
            </w: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FF0FC"/>
            </w:tcBorders>
            <w:vMerge w:val="continue"/>
          </w:tcPr>
          <w:p>
            <w:pPr>
              <w:spacing w:after="0"/>
              <w:rPr>
                <w:sz w:val="21"/>
                <w:szCs w:val="21"/>
                <w:color w:val="auto"/>
              </w:rPr>
            </w:pPr>
          </w:p>
        </w:tc>
        <w:tc>
          <w:tcPr>
            <w:tcW w:w="1540" w:type="dxa"/>
            <w:vAlign w:val="bottom"/>
            <w:tcBorders>
              <w:top w:val="single" w:sz="8" w:color="auto"/>
              <w:bottom w:val="single" w:sz="8" w:color="auto"/>
            </w:tcBorders>
          </w:tcPr>
          <w:p>
            <w:pPr>
              <w:jc w:val="right"/>
              <w:ind w:right="13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Borders>
              <w:bottom w:val="single" w:sz="8" w:color="CFF0FC"/>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shares used in computing</w:t>
            </w:r>
          </w:p>
        </w:tc>
        <w:tc>
          <w:tcPr>
            <w:tcW w:w="15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 per share, basic and diluted</w:t>
            </w:r>
          </w:p>
        </w:tc>
        <w:tc>
          <w:tcPr>
            <w:tcW w:w="15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18,245</w:t>
            </w:r>
          </w:p>
        </w:tc>
        <w:tc>
          <w:tcPr>
            <w:tcW w:w="2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1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40" w:type="dxa"/>
            <w:vAlign w:val="bottom"/>
            <w:shd w:val="clear" w:color="auto" w:fill="CFF0FC"/>
          </w:tcPr>
          <w:p>
            <w:pPr>
              <w:jc w:val="right"/>
              <w:ind w:right="138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(6,626)</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Unrealized gain on marketable securities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540" w:type="dxa"/>
            <w:vAlign w:val="bottom"/>
            <w:tcBorders>
              <w:top w:val="single" w:sz="8" w:color="auto"/>
              <w:bottom w:val="single" w:sz="8" w:color="auto"/>
            </w:tcBorders>
            <w:shd w:val="clear" w:color="auto" w:fill="CFF0FC"/>
          </w:tcPr>
          <w:p>
            <w:pPr>
              <w:jc w:val="right"/>
              <w:ind w:right="13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KURA ONCOLOGY,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gridSpan w:val="4"/>
          </w:tcPr>
          <w:p>
            <w:pPr>
              <w:jc w:val="right"/>
              <w:ind w:right="10"/>
              <w:spacing w:after="0"/>
              <w:rPr>
                <w:sz w:val="20"/>
                <w:szCs w:val="20"/>
                <w:color w:val="auto"/>
              </w:rPr>
            </w:pPr>
            <w:r>
              <w:rPr>
                <w:rFonts w:ascii="Arial" w:cs="Arial" w:eastAsia="Arial" w:hAnsi="Arial"/>
                <w:sz w:val="16"/>
                <w:szCs w:val="16"/>
                <w:b w:val="1"/>
                <w:bCs w:val="1"/>
                <w:color w:val="auto"/>
                <w:w w:val="98"/>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6"/>
                <w:szCs w:val="16"/>
                <w:b w:val="1"/>
                <w:bCs w:val="1"/>
                <w:color w:val="auto"/>
              </w:rPr>
              <w:t>March 31,</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2016</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tcPr>
          <w:p>
            <w:pPr>
              <w:jc w:val="right"/>
              <w:ind w:right="104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(6,626)</w:t>
            </w:r>
          </w:p>
        </w:tc>
        <w:tc>
          <w:tcPr>
            <w:tcW w:w="8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license fee expense</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Non-cash accrued interest expense</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accrued interest expense, related party</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Depreciation expense</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discount on marketable securities</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related party</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assets</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 related party</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Long-term liabilities</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of marketable securities</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Proceeds from issuance of common stock, net</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issuance of convertible notes payable</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Proceeds from issuance of convertible notes payable, related party</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tcPr>
          <w:p>
            <w:pPr>
              <w:spacing w:after="0"/>
              <w:rPr>
                <w:sz w:val="22"/>
                <w:szCs w:val="22"/>
                <w:color w:val="auto"/>
              </w:rPr>
            </w:pPr>
          </w:p>
        </w:tc>
        <w:tc>
          <w:tcPr>
            <w:tcW w:w="1200" w:type="dxa"/>
            <w:vAlign w:val="bottom"/>
            <w:tcBorders>
              <w:bottom w:val="single" w:sz="8" w:color="auto"/>
            </w:tcBorders>
          </w:tcPr>
          <w:p>
            <w:pPr>
              <w:jc w:val="right"/>
              <w:ind w:right="104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Conversion of convertible notes and related accrued interest to common</w:t>
            </w: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stock</w:t>
            </w:r>
          </w:p>
        </w:tc>
        <w:tc>
          <w:tcPr>
            <w:tcW w:w="2080" w:type="dxa"/>
            <w:vAlign w:val="bottom"/>
            <w:gridSpan w:val="2"/>
            <w:shd w:val="clear" w:color="auto" w:fill="CFF0FC"/>
          </w:tcPr>
          <w:p>
            <w:pPr>
              <w:jc w:val="right"/>
              <w:ind w:right="10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Conversion of convertible notes and related accrued interest to common</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stock, related party</w:t>
            </w:r>
          </w:p>
        </w:tc>
        <w:tc>
          <w:tcPr>
            <w:tcW w:w="2080" w:type="dxa"/>
            <w:vAlign w:val="bottom"/>
            <w:gridSpan w:val="2"/>
          </w:tcPr>
          <w:p>
            <w:pPr>
              <w:jc w:val="right"/>
              <w:ind w:right="104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costs included in accounts payable and accrued expenses</w:t>
            </w:r>
          </w:p>
        </w:tc>
        <w:tc>
          <w:tcPr>
            <w:tcW w:w="2080" w:type="dxa"/>
            <w:vAlign w:val="bottom"/>
            <w:gridSpan w:val="2"/>
            <w:shd w:val="clear" w:color="auto" w:fill="CFF0FC"/>
          </w:tcPr>
          <w:p>
            <w:pPr>
              <w:jc w:val="right"/>
              <w:ind w:right="10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KURA ONCOLOGY,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Kura Oncology, Inc., is a clinical stage biopharmaceutical company discovering and developing personalized therapeutics for the treatment of solid tumors and blood cancers. We focus on the development of small molecule product candidates that target cell signaling pathways that are important to driving the progression of certain cancers. We aim to employ molecular diagnostics to identify patients with cancers who are likely to benefit from our targeted product candidates.</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References in these Notes to Unaudited Condensed Financial Statements to the “Company” or “we”, “our” or “us”, refer to Kura Oncology, Inc., a private Delaware corporation incorporated in the State of Delaware in August 2014, for the periods prior to our reverse merger transaction which took place on March 6, 2015, or the Merger, and Kura Oncology, Inc., a Delaware corporation incorporated in November 2007 and formerly known as Zeta Acquisition Corp. III, a public shell company, for the periods following the Merger.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 our Annual Report on Form 10-K for the fiscal year ended December 31, 2015, as filed with the Securities and Exchange Commission on March 17, 2016, from which we derived our balance sheet as of December 31, 2015. The accompanying condensed financial statements have been prepared in accordance with U.S. generally accepted accounting principles, or GAAP, for interim financial information and with the instructions to Form 10-Q and Article 10 of Regulation S-X. Accordingly, since they are interim statements, the accompanying condensed financial statements do not include all of the information and notes required by GAAP for complete financial statements. The accompanying condensed financial statements reflect all adjustments, consisting of normal recurring adjustments, that are, in the opinion of our management, necessary to a fair statement of the results for the interim periods presented. Interim results are not necessarily indicative of results for a full year.</w:t>
      </w:r>
    </w:p>
    <w:p>
      <w:pPr>
        <w:spacing w:after="0" w:line="179"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preparation of the condensed financial statements in accordance with GAAP requires our management to make estimates and assumptions that affect the amounts reported in our condensed financial statements and accompanying notes. The amounts reported could differ under different estimates and assumptions. On an ongoing basis, we evaluate our estimates and judgments, which are based on historical and anticipated results and trends and on various other assumptions that management believes to be reasonable under the circumstances. By their nature, estimates are subject to an inherent degree of uncertainty and, as such, actual results may differ from management’s estimates.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Comprehensive income (loss) is defined as the change in equity during the period from transactions and other events and non-owner sources. For the periods presented, accumulated other comprehensive income (loss) consists solely of unrealized gains and losses on marketable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calculated basic net loss per common share by dividing the net loss by the weighted-average number of common shares outstanding for the period, without consideration for common stock equivalents. Diluted net loss per share is calculated by dividing the net loss by the weighted-average number of common share equivalents outstanding for the period determined using the treasury-stock method. Dilutive common stock equivalents are comprised of unvested restricted stock awards and outstanding stock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ind w:right="20"/>
        <w:spacing w:after="0" w:line="279" w:lineRule="auto"/>
        <w:rPr>
          <w:sz w:val="20"/>
          <w:szCs w:val="20"/>
          <w:color w:val="auto"/>
        </w:rPr>
      </w:pPr>
      <w:r>
        <w:rPr>
          <w:rFonts w:ascii="Arial" w:cs="Arial" w:eastAsia="Arial" w:hAnsi="Arial"/>
          <w:sz w:val="17"/>
          <w:szCs w:val="17"/>
          <w:color w:val="auto"/>
        </w:rPr>
        <w:t>under our equity plan. For all periods presented, there is no difference in the number of shares used to calculate basic and diluted shares outstanding due to the antidilutive effect of the securities. Because of our net loss, unvested stock awards representing an aggregate of 2,929,850 and 4,191,081 shares of common stock and options to purchase an aggregate of 1,193,275 and zero shares of common stock are excluded from the calculation of diluted net loss per common share as of March 31, 2016 and 2015, respectively, due to the anti-dilutive effect of the securities.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In February 2016, the Financial Accounting Standards Board, or FASB, issued Accounting Standards Update, or ASU, 2016-02, Leases (Topic 842), which amends the existing accounting standards for accounting for leases. The amendments are to increase transparency and comparability among organizations by requiring recognition of lease assets and lease liabilities on the balance sheets and disclosure of key information about leasing arrangements. This pronouncement is effective for fiscal years beginning after December 15, 2018, and interim periods within those annual periods. Early adoption is permitted. The guidance is required to be adopted at the earliest period presented using a modified retrospective approach. We are currently evaluating the impact these amendments will have on our financial statements and the timing of when we will adopt the guidance.</w:t>
      </w:r>
    </w:p>
    <w:p>
      <w:pPr>
        <w:spacing w:after="0" w:line="178"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which simplifies accounting for share-based award transactions specific to income tax consequences, forfeitures, the classification of awards as equity or liability, and the classification of award payments on the statement of cash flows. The pronouncement is effective for interim and annual periods beginning on or after December 15, 2016. Early adoption is permitted, but all of the guidance must be adopted in the same period. We are currently evaluating the impact this standard will have on our financial statements and the timing of when we will adopt the guidance.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by major security type, our short-term investments that are measured at fair value on a recurring basis,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6"/>
                <w:szCs w:val="16"/>
                <w:b w:val="1"/>
                <w:bCs w:val="1"/>
                <w:color w:val="auto"/>
              </w:rPr>
              <w:t>As of March 31, 2016</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tcPr>
          <w:p>
            <w:pPr>
              <w:spacing w:after="0"/>
              <w:rPr>
                <w:sz w:val="17"/>
                <w:szCs w:val="17"/>
                <w:color w:val="auto"/>
              </w:rPr>
            </w:pP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Maturity</w:t>
            </w:r>
          </w:p>
        </w:tc>
        <w:tc>
          <w:tcPr>
            <w:tcW w:w="180" w:type="dxa"/>
            <w:vAlign w:val="bottom"/>
          </w:tcPr>
          <w:p>
            <w:pPr>
              <w:spacing w:after="0"/>
              <w:rPr>
                <w:sz w:val="17"/>
                <w:szCs w:val="17"/>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(in years)</w:t>
            </w: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40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2 or less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20,009</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2 or less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5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 or less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Government sponsored entities</w:t>
            </w: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1 or less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vMerge w:val="continue"/>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6"/>
                <w:szCs w:val="16"/>
                <w:b w:val="1"/>
                <w:bCs w:val="1"/>
                <w:color w:val="auto"/>
              </w:rPr>
              <w:t>As of December 31, 2015</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40" w:type="dxa"/>
            <w:vAlign w:val="bottom"/>
          </w:tcPr>
          <w:p>
            <w:pPr>
              <w:spacing w:after="0"/>
              <w:rPr>
                <w:sz w:val="17"/>
                <w:szCs w:val="17"/>
                <w:color w:val="auto"/>
              </w:rPr>
            </w:pP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Maturity</w:t>
            </w:r>
          </w:p>
        </w:tc>
        <w:tc>
          <w:tcPr>
            <w:tcW w:w="180" w:type="dxa"/>
            <w:vAlign w:val="bottom"/>
          </w:tcPr>
          <w:p>
            <w:pPr>
              <w:spacing w:after="0"/>
              <w:rPr>
                <w:sz w:val="17"/>
                <w:szCs w:val="17"/>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(in years)</w:t>
            </w: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40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2 or less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2 or less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5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 or less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Government sponsored entities</w:t>
            </w: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2 or less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70,390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81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7" w:name="page8"/>
    <w:bookmarkEnd w:id="7"/>
    <w:p>
      <w:pPr>
        <w:jc w:val="both"/>
        <w:ind w:right="20" w:firstLine="518"/>
        <w:spacing w:after="0" w:line="270" w:lineRule="auto"/>
        <w:rPr>
          <w:sz w:val="20"/>
          <w:szCs w:val="20"/>
          <w:color w:val="auto"/>
        </w:rPr>
      </w:pPr>
      <w:r>
        <w:rPr>
          <w:rFonts w:ascii="Arial" w:cs="Arial" w:eastAsia="Arial" w:hAnsi="Arial"/>
          <w:sz w:val="17"/>
          <w:szCs w:val="17"/>
          <w:color w:val="auto"/>
        </w:rPr>
        <w:t>Our investments are classified as current assets, even though the stated maturity date may be one year or more beyond the current balance sheet date, which reflects management’s intention to use the proceeds from sales of these securities to fund our operations, as necessary. As of March 31, 2016, $56.8 million of our investments had maturities less than one year and $5.3 million had maturities between one to two years. There were no realized gains or losses for the three months ended March 31, 2016. As of March 31, 2016, $15.6 million of our marketable securities were in gross unrealized loss positions, all of which had been in such position for less than twelve months. We reviewed our marketable securities as of March 31, 2016 and determined that the unrealized losses were not considered to be other-than-temporary based upon (i) the financial strength of the issuing institution and (ii) the fact that all securities have been in an unrealized loss position for less than twelve months. In addition, we do not intend to sell these securities and it is not more likely than not that we will be required to sell these securities before the recovery of their amortized cost basis. As of March 31, 2016, we had not recognized any such impairment in our condensed financial statements.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As a basis for considering assumptions that market participants would use in pricing an asset or liability, the guidance establishes a three-tier fair value hierarchy, which prioritizes the inputs used in measuring fair value as follows:</w:t>
      </w:r>
    </w:p>
    <w:p>
      <w:pPr>
        <w:spacing w:after="0" w:line="62"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either directly or indirectly observable; and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assumptions that market participants would use in pricing.</w:t>
      </w:r>
    </w:p>
    <w:p>
      <w:pPr>
        <w:spacing w:after="0" w:line="170"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color w:val="auto"/>
        </w:rPr>
        <w:t>Available-for-sale marketable securities consist of U.S. Treasury securities, which were measured at fair value using Level 1 inputs, and corporate debt securities, commercial paper and government sponsored entities, which were measured at fair value using Level 2 inputs. We determine the fair value of Level 2 related securities with the aid of valuations provided by third parties using proprietary valuation models and analytical tools. These valuation models and analytical tools use market pricing or prices for similar instruments that are both objective and publicly available, including matrix pricing or reported trades, benchmark yields, broker/dealer quotes, issuer spreads, two-sided markets, benchmark securities, bids and/or offers. We validate the fair values of Level 2 financial instruments by comparing these fair values to a third-party pricing source. No transfers between levels have occurred during the periods presented.</w:t>
      </w:r>
    </w:p>
    <w:p>
      <w:pPr>
        <w:spacing w:after="0" w:line="18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tables summarize, by major security type, our cash equivalents and short-term investments that are measured at fair value on a recurring basis and are categorized using the fair value hierarchy,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As of March 31, 2016</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Arial" w:cs="Arial" w:eastAsia="Arial" w:hAnsi="Arial"/>
                <w:sz w:val="16"/>
                <w:szCs w:val="16"/>
                <w:b w:val="1"/>
                <w:bCs w:val="1"/>
                <w:color w:val="auto"/>
                <w:w w:val="95"/>
              </w:rPr>
              <w:t>Total Estimated</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332"/>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13,425</w:t>
            </w:r>
          </w:p>
        </w:tc>
        <w:tc>
          <w:tcPr>
            <w:tcW w:w="5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13,425</w:t>
            </w:r>
          </w:p>
        </w:tc>
        <w:tc>
          <w:tcPr>
            <w:tcW w:w="5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vMerge w:val="restart"/>
          </w:tcPr>
          <w:p>
            <w:pPr>
              <w:spacing w:after="0"/>
              <w:rPr>
                <w:sz w:val="19"/>
                <w:szCs w:val="19"/>
                <w:color w:val="auto"/>
              </w:rPr>
            </w:pPr>
          </w:p>
        </w:tc>
        <w:tc>
          <w:tcPr>
            <w:tcW w:w="3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18,896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sponsored entities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short-term investments</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20,024</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79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91"/>
              </w:rPr>
              <w:t>As of December 31, 2015</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Arial" w:cs="Arial" w:eastAsia="Arial" w:hAnsi="Arial"/>
                <w:sz w:val="16"/>
                <w:szCs w:val="16"/>
                <w:b w:val="1"/>
                <w:bCs w:val="1"/>
                <w:color w:val="auto"/>
                <w:w w:val="95"/>
              </w:rPr>
              <w:t>Total Estimated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3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Level 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12,984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12,984</w:t>
            </w:r>
          </w:p>
        </w:tc>
        <w:tc>
          <w:tcPr>
            <w:tcW w:w="200" w:type="dxa"/>
            <w:vAlign w:val="bottom"/>
          </w:tcPr>
          <w:p>
            <w:pPr>
              <w:spacing w:after="0"/>
              <w:rPr>
                <w:sz w:val="19"/>
                <w:szCs w:val="19"/>
                <w:color w:val="auto"/>
              </w:rPr>
            </w:pPr>
          </w:p>
        </w:tc>
        <w:tc>
          <w:tcPr>
            <w:tcW w:w="340" w:type="dxa"/>
            <w:vAlign w:val="bottom"/>
            <w:gridSpan w:val="3"/>
          </w:tcPr>
          <w:p>
            <w:pPr>
              <w:jc w:val="right"/>
              <w:ind w:right="12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vMerge w:val="restart"/>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Government sponsored entities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70,303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15,989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Accounts Payable and Accrued Liabilities</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gridSpan w:val="5"/>
          </w:tcPr>
          <w:p>
            <w:pPr>
              <w:jc w:val="right"/>
              <w:ind w:right="152"/>
              <w:spacing w:after="0"/>
              <w:rPr>
                <w:sz w:val="20"/>
                <w:szCs w:val="20"/>
                <w:color w:val="auto"/>
              </w:rPr>
            </w:pPr>
            <w:r>
              <w:rPr>
                <w:rFonts w:ascii="Arial" w:cs="Arial" w:eastAsia="Arial" w:hAnsi="Arial"/>
                <w:sz w:val="18"/>
                <w:szCs w:val="18"/>
                <w:color w:val="auto"/>
                <w:w w:val="99"/>
              </w:rPr>
              <w:t>Accounts payable and accrued liabilities consisted of the following,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31, 2016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8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w w:val="93"/>
              </w:rPr>
              <w:t>Total accounts payable and accrued expenses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Incentive Plan</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March 31, 2016, there were 714,131 shares of common stock reserved for future stock awards under our Amended and Restated 2014 Equity Incentive Plan, or the 2014 Plan. The number of shares available for future grant under our 2014 Plan automatically increases on January 1 of each year by 4% of the total number of shares of our common stock outstanding on December 31 of the preceding calendar year, subject to the ability of our board of directors to take action to reduce the size of the increase in any given year. On January 1, 2016, the initial automatic increase pursuant to the 2014 Plan occurred, resulting in 854,822 additional shares available for future grant under the 2014 Plan.</w:t>
      </w:r>
    </w:p>
    <w:p>
      <w:pPr>
        <w:spacing w:after="0" w:line="188" w:lineRule="exact"/>
        <w:rPr>
          <w:sz w:val="20"/>
          <w:szCs w:val="20"/>
          <w:color w:val="auto"/>
        </w:rPr>
      </w:pPr>
    </w:p>
    <w:p>
      <w:pPr>
        <w:jc w:val="both"/>
        <w:ind w:firstLine="518"/>
        <w:spacing w:after="0" w:line="320" w:lineRule="auto"/>
        <w:rPr>
          <w:sz w:val="20"/>
          <w:szCs w:val="20"/>
          <w:color w:val="auto"/>
        </w:rPr>
      </w:pPr>
      <w:r>
        <w:rPr>
          <w:rFonts w:ascii="Arial" w:cs="Arial" w:eastAsia="Arial" w:hAnsi="Arial"/>
          <w:sz w:val="15"/>
          <w:szCs w:val="15"/>
          <w:color w:val="auto"/>
        </w:rPr>
        <w:t>In addition, as of March 31, 2016, there were 238,705 shares of common stock reserved for future issuance under our 2015 Employee Stock Purchase Plan, or ESPP, which has not been implemented as of March 31, 2016. The number of shares of our common stock reserved for issuance under the ESPP automatically increases on January 1 of each calendar year by the lesser of 1% of the total number of shares of our common stock outstanding on December 31 of the preceding calendar year and 2,000,000 shares, subject to the ability of our board of directors to take action to reduce the size of the increase in any given year. On January 1, 2016, the initial automatic increase pursuant to the ESPP occurred, resulting in 213,705 additional shares available for future grant under the ESPP.</w:t>
      </w:r>
    </w:p>
    <w:p>
      <w:pPr>
        <w:spacing w:after="0" w:line="14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During the three months ended March 31, 2016, we granted options to purchase 632,713 shares of our common stock to employees, with the weighted average grant date fair value of $3.15 per share. We did not grant any stock options during the three months ended March 31, 2015.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The following table summarizes share-based compensation expense for all equity awards granted,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March 31,</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44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36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320" w:type="dxa"/>
            <w:vAlign w:val="bottom"/>
            <w:gridSpan w:val="2"/>
            <w:shd w:val="clear" w:color="auto" w:fill="CFF0FC"/>
          </w:tcPr>
          <w:p>
            <w:pPr>
              <w:jc w:val="right"/>
              <w:ind w:right="9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FF0FC"/>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FF0FC"/>
            </w:tcBorders>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share-based compensation expense</w:t>
            </w:r>
          </w:p>
        </w:tc>
        <w:tc>
          <w:tcPr>
            <w:tcW w:w="236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320" w:type="dxa"/>
            <w:vAlign w:val="bottom"/>
            <w:gridSpan w:val="2"/>
            <w:shd w:val="clear" w:color="auto" w:fill="CFF0FC"/>
          </w:tcPr>
          <w:p>
            <w:pPr>
              <w:jc w:val="right"/>
              <w:ind w:right="9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For the three months ended March 31, 2016 and 2015, we recognized share-based compensation expense related to stock options of $250,000 and zero, respectively, of which $8,000 and zero related to non-employee stock options, respectively. For the three months ended March 31, 2016 and 2015, we recognized share-based compensation expense related to restricted stock awards totaling $239,000 and $644,000, respectively, of which $206,000 and $616,000 related to non-employee restricted stock awards, respectively. As of March 31, 2016, unrecognized compensation costs related to employee stock options and restricted stock awards were approximately $3.6 million and $327,000, respectively, which are expected to be recognized over a weighted average period of approximately 3.4 years and 2.5 years,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Our president and chief executive officer is also the sole managing member of our affiliated company Araxes. Four individuals are significant stockholders of each of us and Araxes. The following is a summary of all transactions with Araxes for the three months ended March 31, 2016:</w:t>
      </w:r>
    </w:p>
    <w:p>
      <w:pPr>
        <w:spacing w:after="0" w:line="16"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Facility Sublease</w:t>
      </w:r>
    </w:p>
    <w:p>
      <w:pPr>
        <w:spacing w:after="0" w:line="121" w:lineRule="exact"/>
        <w:rPr>
          <w:sz w:val="20"/>
          <w:szCs w:val="20"/>
          <w:color w:val="auto"/>
        </w:rPr>
      </w:pPr>
    </w:p>
    <w:p>
      <w:pPr>
        <w:jc w:val="both"/>
        <w:ind w:left="380" w:firstLine="501"/>
        <w:spacing w:after="0" w:line="286" w:lineRule="auto"/>
        <w:rPr>
          <w:sz w:val="20"/>
          <w:szCs w:val="20"/>
          <w:color w:val="auto"/>
        </w:rPr>
      </w:pPr>
      <w:r>
        <w:rPr>
          <w:rFonts w:ascii="Arial" w:cs="Arial" w:eastAsia="Arial" w:hAnsi="Arial"/>
          <w:sz w:val="17"/>
          <w:szCs w:val="17"/>
          <w:color w:val="auto"/>
        </w:rPr>
        <w:t>We sublease office space from Araxes for a base rent of approximately $5,000 per month plus operating expenses, taxes, insurance, and utilities applicable to the subleased property. For the three months ended March 31, 2016 and 2015, rent expense related to this sublease was $26,000 and $25,000, respectively. The sublease will expire on August 30, 2016. We plan to extend the term of the sublease.</w:t>
      </w:r>
    </w:p>
    <w:p>
      <w:pPr>
        <w:spacing w:after="0" w:line="35"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Management Fees</w:t>
      </w:r>
    </w:p>
    <w:p>
      <w:pPr>
        <w:spacing w:after="0" w:line="121" w:lineRule="exact"/>
        <w:rPr>
          <w:sz w:val="20"/>
          <w:szCs w:val="20"/>
          <w:color w:val="auto"/>
        </w:rPr>
      </w:pPr>
    </w:p>
    <w:p>
      <w:pPr>
        <w:jc w:val="both"/>
        <w:ind w:left="380" w:firstLine="501"/>
        <w:spacing w:after="0" w:line="289" w:lineRule="auto"/>
        <w:rPr>
          <w:sz w:val="20"/>
          <w:szCs w:val="20"/>
          <w:color w:val="auto"/>
        </w:rPr>
      </w:pPr>
      <w:r>
        <w:rPr>
          <w:rFonts w:ascii="Arial" w:cs="Arial" w:eastAsia="Arial" w:hAnsi="Arial"/>
          <w:sz w:val="16"/>
          <w:szCs w:val="16"/>
          <w:color w:val="auto"/>
        </w:rPr>
        <w:t>We have a management services agreement with Araxes under which Araxes pays us a fixed fee of $100,000 per month for management services. In addition, the agreement allows for Araxes to reimburse us an amount equal to the number of full time equivalents, or FTE, performing research and development services for Araxes, at an annual FTE rate of approximately $350,000, plus actual expenses as reasonably incurred. The initial term expired on December 31, 2015 but, pursuant to the terms of the agreement, renews automatically for additional consecutive one-year periods. The agreement may be terminated by either party with a notice of at least 30 days prior to the expiration of the then-renewal term. For the three months ended March 31, 2016 and 2015, we recorded reimbursements of $106,000 and $49,000, respectively, for research and development services provided to Araxes, which was recorded as a reduction to research and development expenses on the condensed statements of operations and comprehensive loss. As of March 31, 2016 and December 31, 2015, $406,000 and $430,000 related to management fees and reimbursements of research and development services, respectively, are included in accounts receivable, related party on the condensed balance sheets.</w:t>
      </w:r>
    </w:p>
    <w:p>
      <w:pPr>
        <w:spacing w:after="0" w:line="36"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Services Agreement</w:t>
      </w:r>
    </w:p>
    <w:p>
      <w:pPr>
        <w:spacing w:after="0" w:line="121" w:lineRule="exact"/>
        <w:rPr>
          <w:sz w:val="20"/>
          <w:szCs w:val="20"/>
          <w:color w:val="auto"/>
        </w:rPr>
      </w:pPr>
    </w:p>
    <w:p>
      <w:pPr>
        <w:jc w:val="both"/>
        <w:ind w:left="380" w:firstLine="501"/>
        <w:spacing w:after="0" w:line="257" w:lineRule="auto"/>
        <w:rPr>
          <w:sz w:val="20"/>
          <w:szCs w:val="20"/>
          <w:color w:val="auto"/>
        </w:rPr>
      </w:pPr>
      <w:r>
        <w:rPr>
          <w:rFonts w:ascii="Arial" w:cs="Arial" w:eastAsia="Arial" w:hAnsi="Arial"/>
          <w:sz w:val="18"/>
          <w:szCs w:val="18"/>
          <w:color w:val="auto"/>
        </w:rPr>
        <w:t>We have a services agreement with Wellspring Biosciences LLC, a wholly owned subsidiary of Araxes, which allows for payment of research and development services provided to us of an amount equal to the number of FTE’s performing the services, at an annual FTE rate of $400,000, plus actual expenses as reasonably incurred. The initial term of this services agreement expired on December 31, 2015 but, pursuant to the terms of the agreement, renews automatically for additional consecutive one-year periods. The agreement may be terminated by either party with a notice of at least 30 days prior to the expiration of the then-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ind w:left="380"/>
        <w:spacing w:after="0" w:line="279" w:lineRule="auto"/>
        <w:rPr>
          <w:sz w:val="20"/>
          <w:szCs w:val="20"/>
          <w:color w:val="auto"/>
        </w:rPr>
      </w:pPr>
      <w:r>
        <w:rPr>
          <w:rFonts w:ascii="Arial" w:cs="Arial" w:eastAsia="Arial" w:hAnsi="Arial"/>
          <w:sz w:val="17"/>
          <w:szCs w:val="17"/>
          <w:color w:val="auto"/>
        </w:rPr>
        <w:t>renewal term. For the three months ended March 31, 2016 and 2015, we recognized $1.2 million and $1.1 million, respectively, from research and development services provided to us under this agreement as research and development expense, related party on the condensed statements of operations and comprehensive loss. As of March 31, 2016 and December 31, 2015, $1.2 million and $911,000, respectively, related to research and development services under this agreement are included in accrued expenses, related party on the condensed balance sheets.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April 27, 2016, we entered into a loan and security agreement, or the Loan Agreement, with Oxford Finance LLC and Silicon Valley Bank, or the Lenders, pursuant to which the Lenders have agreed to lend us up to $20.0 million in a series of term loans. Upon entering into the Loan Agreement, we borrowed $7.5 million from the Lenders, or Term A Loan. We plan to use the proceeds from the Term A Loan to provide additional funding for our development programs and for general corporate purposes.</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Under the terms of the Loan Agreement, we may, at our sole discretion, borrow from the Lenders up to an additional $12.5 million at any time between December 31, 2016 and May 1, 2017, or Term B Loan, and together with Term A Loan, the Term Loans, subject to our successful advancement of KO-947, a small molecule inhibitor of extracellular signal regulated kinase, into Phase 1 clinical trials. In addition, each Term B Loan must be in an amount equal to the lesser of $5.0 million or the amount that is remaining under the Term B Loan.</w:t>
      </w:r>
    </w:p>
    <w:p>
      <w:pPr>
        <w:spacing w:after="0" w:line="18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All of the Term Loans will be due on the scheduled maturity date of November 1, 2020, or Maturity Date, and will be interest only through June 1, 2018, followed by 30 equal monthly payments of principal and interest. The interest rate for any outstanding amounts is the greater of (i) 7.75% and (ii) the sum of (a) the prime rate reported in The Wall Street Journal on the last business day of the month that immediately precedes the month in which the interest will accrue, plus (b) 4.25%. In addition, a final payment of 7.50% of the amounts of the Term Loans drawn will be due on the Maturity Date, acceleration of any Term Loan, or prepayment of the Term Loans. If we elect to prepay the outstanding amount under the Loan Agreement prior to the Maturity Date, a prepayment charge of 1%, 2% or 3%, of the then outstanding principal balance also will be due, depending upon when the prepayment occurs. We will also be required to pay an unused fee in an amount equal to (a) 2.00% multiplied by (b) $20.0 million minus the aggregate amount of the Term Loans drawn on or before May 1, 2017, on the earlier of May 2, 2017 or prior repayment of the Term Loans. We are subject to customary affirmative and restrictive covenants under the term loan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Warrants</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In connection with the Loan Agreement, we issued to the Lenders warrants to purchase 67,976 shares of our common stock, or the Warrants. The Warrants are exercisable in whole or in part, immediately, and have an exercise price of $3.31 per share, which was the closing price of our common stock on the day prior to funding. The Warrants will terminate on the earlier of April 27, 2026 or the closing of a certain merger or consolidation transactions. If we borrow under Term B Loan, upon the funding of Term B Loan, we will issue to the Lenders additional warrants to purchase shares of our common stock equal to 3.00% of each Term B Loan amount divided by the lower of (i) the ten day average closing price of our common stock reported on the NASDAQ Global Select Market prior to funding or (ii) the closing price of our common stock reported on the NASDAQ Global Select Market on the day prior to funding. Such lower amount of (i) and (ii) above will also be the exercise price per share for such warrants. The terms of such warrants would be substantially the same as those contained in the Warrants.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financial statements and related notes included in this Quarterly Report on Form 10-Q and the audited financial statements and notes thereto as of and for the fiscal year ended December 31, 2015 and the related Management’s Discussion and Analysis of Financial Condition and Results of Operations, both of which are contained in our Annual Report on Form 10-K for the fiscal year ended December 31, 2015 filed with the Securities and Exchange Commission, or SEC, on March 17, 2016.</w:t>
      </w:r>
    </w:p>
    <w:p>
      <w:pPr>
        <w:spacing w:after="0" w:line="18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i w:val="1"/>
          <w:iCs w:val="1"/>
          <w:color w:val="auto"/>
        </w:rPr>
        <w:t>This Quarterly Report includes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that involve a number of risks, uncertainties and assumptions. These forward-looking statements can generally be identified as such because the context of the statement will include words such as “may,” “will,” “intend,” “plan,” “believe,” “anticipate,” “expect,” “estimate,” “predict,” “potential,” “continue,” “likely,” or “opportunity,” the negative of these words or other similar words. Similarly, statements that describe our plans, strategies, intentions, expectations, objectives, goals or prospects and other statements that are not historical facts are also forward-looking statements. For such statements, we claim the protection of the Private Securities Litigation Reform Act of 1995. Readers of this Quarterly Report are cautioned not to place undue reliance on these forward-looking statements, which speak only as of the time this Quarterly Report was filed with the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the risk factors identified in our SEC reports, including this Quarterly Report. 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update publicly or revise our forward-looking statements.</w:t>
      </w:r>
    </w:p>
    <w:p>
      <w:pPr>
        <w:spacing w:after="0" w:line="18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References to the “Company,” “we,” “us” and “our” refer to Kura Oncology, Inc., or Prior Kura, a private Delaware corporation incorporated in the State of Delaware in August 2014, for the periods prior to our reverse merger transaction which took place on March 6, 2015, or the Merger, and Kura Oncology, Inc., a Delaware corporation incorporated in November 2007 and formerly known as Zeta Acquisition Corp. III, for the periods following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are a clinical stage biopharmaceutical company discovering and developing personalized therapeutics for the treatment of solid tumors and blood cancers. We focus on the development of small molecule product candidates that target cell signaling pathways that are important to driving the progression of certain cancers. We aim to employ molecular diagnostics to identify patients with cancers who are likely to benefit from our targeted product candidates.</w:t>
      </w:r>
    </w:p>
    <w:p>
      <w:pPr>
        <w:spacing w:after="0" w:line="14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Advancements in cancer genetics and new molecular diagnostic tools are helping define why some patients respond to a particular therapy while other patients receive little to no clinical benefit. This new era in cancer drug discovery and development offers the potential for innovative treatments that are safer and more effective for patients with particular cancers. We aim to improve patient outcomes and contribute to the reduction in healthcare costs by matching targeted therapeutics to the patients who will derive the most benefit. We are developing drugs designed to inhibit mutated or abnormally functioning cellular pathways that drive cancer growth and intend to pair them with molecular diagnostics to identify those patients with tumors most likely to respond to treatment.</w:t>
      </w:r>
    </w:p>
    <w:p>
      <w:pPr>
        <w:spacing w:after="0" w:line="193"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are developing our lead product candidate, tipifarnib, a farnesyl transferase inhibitor, in both solid tumors and blood cancers based on previously generated clinical data, preclinical data and our identification of potential molecular biomarkers. We in-licensed tipifarnib from Janssen Pharmaceutica NV, or Janssen, a foreign entity headquartered in Belgium and an affiliate of Johnson &amp;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color w:val="auto"/>
        </w:rPr>
        <w:t>Johnson, in December 2014. We initiated a Phase 2 clinical trial of tipifarnib in patients who have solid tumors with Harvey rat sarcoma viral oncogene homolog, or HRAS, mutations in May 2015, a Phase 2 clinical trial in patients with peripheral T cell lymphoma, or PTCL, in September 2015, and a Phase 2 clinical trial in patients with lower risk myelodysplastic syndromes, or MDS, in May 2016. Tipifarnib is also currently being evaluated in an investigator sponsored Phase 2 clinical trial in patients with advanced, previously treated urothelial carcinomas that carry HRAS mutations.</w:t>
      </w:r>
    </w:p>
    <w:p>
      <w:pPr>
        <w:spacing w:after="0" w:line="17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Our pipeline also includes two preclinical programs. We are advancing KO-947, a small molecule inhibitor of extracellular-signal-regulated kinase, or ERK, as a potential treatment for patients with tumors that have mutations in or other dysregulation of the mitogen-activated protein kinase, signaling pathway, including pancreatic cancer, colorectal cancer, non-small cell lung cancer, head and neck cancer and melanoma. We anticipate submitting an investigational new drug application, or IND, for KO-947 to the Food and Drug Administration, or FDA, in the second quarter of 2016 and commencing a Phase 1 clinical trial in the second half of 2016. We are also developing orally available, small molecule inhibitors of the menin-mixed lineage leukemia, or menin-MLL, fusion protein interaction, which are currently in lead optimization as a potential treatment for patients with acute leukemias involving translocations or partial tandem duplications of the MLL gene. Our goal is to nominate a development candidate for our menin-MLL program in the second half of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addition to our ongoing clinical trials of tipifarnib, we plan to initiate a Phase 2 clinical trial of tipifarnib in chronic myelomonocytic leukemia, or CMML, in the second half of 2016. CMML is a disorder of bone marrow stem cells in which an increase in white blood cells, or monocytosis, is a defining feature. The clinical presentation of CMML varies from predominantly myelodysplastic, an ineffective production of blood cells, to predominantly myeloproliferative, an overproduction of blood cells. CMML is primarily a disease of the elderly with a median age at diagnosis of 65 to 75 years, and an estimated annual incidence of approximately 1,280 patients in the United States. The prognosis of CMML is poor, with a median survival of 2 to 3 years and a 15% to 20% risk of transformation to acute myeloid leukemia, or AML. Management of CMML typically focuses on supportive care as therapeutic options are limited. We believe treatment of adult CMML remains an unmet medical need.</w:t>
      </w:r>
    </w:p>
    <w:p>
      <w:pPr>
        <w:spacing w:after="0" w:line="17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a prior Phase 2 clinical trial of tipifarnib sponsored by Johnson &amp; Johnson and in adult patients with intermediate to high risk MDS, of the 82 patients treated, 19 were classified as having CMML according to the French American British classification. Based on an intent to treat analysis of these CMML patients using the International Working Group (2000) response criteria for MDS, responses were observed in four of the 19 patients (21%), with one complete response, or CR, and three complete responses with incomplete platelet recovery, or CRp. Median duration of response was 225 days and median time to transformation to AML was not estimable. Median overall survival in these patients was 440 days. Tipifarnib was generally well tolerated. Grade 3 or 4 adverse events reported across all patients were primarily myelosuppression: thrombocytopenia, anemia, and neutropenia. We believe the results observed from this Phase 2 clinical trial suggest that tipifarnib may produce durable responses as a single agent in patients with CMML.</w:t>
      </w:r>
    </w:p>
    <w:p>
      <w:pPr>
        <w:spacing w:after="0" w:line="16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planned Phase 2 clinical trial is designed to evaluate the anti-tumor activity of tipifarnib in CMML. As part of the study, we also plan to test a biomarker hypothesis, which may allow us to identify those patients most likely to experience durable responses. We anticipate that the clinical trial would recruit approximately 20 patients and be initiated in the second half of 2016.</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April 2016, we entered into a loan and security agreement, or loan agreement, with Oxford Finance LLC and Silicon Valley Bank, collectively referred to as the lenders, providing for up to $20.0 million in a series of term loans. Upon entering into the loan agreement, the lenders provided us with a term loan of $7.5 million. Under the terms of the loan agreement, we may borrow up to an additional $12.5 million at any time between December 31, 2016 and May 1, 2017, subject to our successful advancement of KO-947 into Phase 1 clinical trials.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Liquidity Overview</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accumulated deficit was $32.9 million as of March 31, 2016. We expect to continue to incur significant expenses and increasing operating losses for at least the next several years as we continue the research and clinical development of, and seek regulatory approval for, our product candidates. Our net losses may fluctuate significantly from quarter-to-quarter and year-to-year. As of March 31, 2016, we had cash, cash equivalents and short-term investments of $78.5 million. In April 2016, we received approximately $7.5 million in net proceeds from our term loan facility, with an additional $12.5 million available anytime between December 31, 2015 and May 1, 2017, subject to our successful advancement of KO-947 into Phase 1 clinical trials. Although we expect our existing cash, cash equivalents and short-term investments will be sufficient to fund our current operations into 2018, our development programs will require significant additional funds. We may also need to raise additional funds sooner than expected to pursue other development activities related to our pipeline programs. We may seek to obtain additional financing in the future through equity or debt financings or through collaborations or partnerships with other companies. We may not be able to raise additional capital on terms acceptable to us, or at all, and any failure to raise capital as and when needed could compromise our ability to execute on our business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focus on the research and development of our product programs. Our research and development expenses consist of salaries, benefits and other personnel costs, preclinical and clinical trial costs, manufacturing costs for non-commercial products and research and development facilities costs. All such costs are charged to research and development expense as incurred when these expenditures have no alternative future uses. Payments that we make in connection with in-licensed technology for a particular research and development project that have no alternative future uses (in other research and development projects or otherwise) and therefore, no separate economic values, are expensed as research and development costs at the time such costs are incurred. As of March 31, 2016, we have no in-licensed technologies that have alternative future uses in research and development projects or otherwise.</w:t>
      </w:r>
    </w:p>
    <w:p>
      <w:pPr>
        <w:spacing w:after="0" w:line="16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Since inception through March 31, 2016, we had incurred an aggregate of approximately $25.1 million in research and development expenses related to the in-licensing and development of our product candidates and pipeline programs. We cannot determine with certainty the timing of initiation, the duration or the completion costs of current or future preclinical studies and clinical trials of our product candidates. At this time, due to the inherently unpredictable nature of preclinical and clinical development, we are unable to estimate with any certainty the costs we will incur and the timelines we will require in the continued development of our product candidates and our other pipeline programs. Clinical and preclinical development timelines, the probability of success and development costs can differ materially from expectations. Our future research and development expenses will depend on the preclinical and clinical success of each product candidate that we develop, as well as ongoing assessments of the commercial potential of such product candidates.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Completion of clinical trials may take several years or more, and the length of time generally varies according to the type, complexity, novelty and intended use of a product candidate. The cost of clinical trials may vary significantly over the life of a project as a result of differences arising during clinical development, including, among others:</w:t>
      </w:r>
    </w:p>
    <w:p>
      <w:pPr>
        <w:spacing w:after="0" w:line="73"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clinical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trials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 included in the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participate in the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complexity of analyses and tests performed during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phase of development of the product candidate;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General and administrative expenses consist primarily of salaries, benefits and other personnel costs for employees in executive, finance, business development and support functions. Other significant general and administrative expenses include the costs associated with obtaining and maintaining our patent portfolio, professional services for accounting, auditing, legal and investor and public relations, corporate activities, travel and allocated facilities.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Other income (expense) consists primarily of management fee income, interest income and interest expense. Management fee income is earned in accordance with the management services agreement with our affiliated company Araxes Pharma LLC. Interest expense consists of interest accrued on convertible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incurred net losses and have not recorded any U.S. federal or state income tax benefits for the losses as they have been offset by valuation allowances.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2016 and 2015</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and changes for the three months ended March 31, 2016 and 2015,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40" w:type="dxa"/>
            <w:vAlign w:val="bottom"/>
            <w:gridSpan w:val="4"/>
          </w:tcPr>
          <w:p>
            <w:pPr>
              <w:jc w:val="center"/>
              <w:ind w:left="361"/>
              <w:spacing w:after="0"/>
              <w:rPr>
                <w:sz w:val="20"/>
                <w:szCs w:val="20"/>
                <w:color w:val="auto"/>
              </w:rPr>
            </w:pPr>
            <w:r>
              <w:rPr>
                <w:rFonts w:ascii="Arial" w:cs="Arial" w:eastAsia="Arial" w:hAnsi="Arial"/>
                <w:sz w:val="16"/>
                <w:szCs w:val="16"/>
                <w:b w:val="1"/>
                <w:bCs w:val="1"/>
                <w:color w:val="auto"/>
                <w:w w:val="93"/>
              </w:rPr>
              <w:t>Three Months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6"/>
        </w:trPr>
        <w:tc>
          <w:tcPr>
            <w:tcW w:w="516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right="342"/>
              <w:spacing w:after="0"/>
              <w:rPr>
                <w:sz w:val="20"/>
                <w:szCs w:val="20"/>
                <w:color w:val="auto"/>
              </w:rPr>
            </w:pPr>
            <w:r>
              <w:rPr>
                <w:rFonts w:ascii="Arial" w:cs="Arial" w:eastAsia="Arial" w:hAnsi="Arial"/>
                <w:sz w:val="16"/>
                <w:szCs w:val="16"/>
                <w:b w:val="1"/>
                <w:bCs w:val="1"/>
                <w:color w:val="auto"/>
                <w:w w:val="97"/>
              </w:rPr>
              <w:t>March 31,</w:t>
            </w:r>
          </w:p>
        </w:tc>
        <w:tc>
          <w:tcPr>
            <w:tcW w:w="4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516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Increase</w:t>
            </w:r>
          </w:p>
        </w:tc>
        <w:tc>
          <w:tcPr>
            <w:tcW w:w="2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Increase</w:t>
            </w:r>
          </w:p>
        </w:tc>
        <w:tc>
          <w:tcPr>
            <w:tcW w:w="180" w:type="dxa"/>
            <w:vAlign w:val="bottom"/>
            <w:tcBorders>
              <w:bottom w:val="single" w:sz="8" w:color="CFF0FC"/>
            </w:tcBorders>
          </w:tcPr>
          <w:p>
            <w:pPr>
              <w:spacing w:after="0"/>
              <w:rPr>
                <w:sz w:val="20"/>
                <w:szCs w:val="20"/>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jc w:val="right"/>
              <w:ind w:right="70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4,649</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2"/>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3,628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2,391</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1,331</w:t>
            </w:r>
          </w:p>
        </w:tc>
        <w:tc>
          <w:tcPr>
            <w:tcW w:w="2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w:t>
            </w:r>
          </w:p>
        </w:tc>
      </w:tr>
    </w:tbl>
    <w:p>
      <w:pPr>
        <w:spacing w:after="0" w:line="20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The increase in research and development expenses for the three months ended March 31, 2016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2015 was primarily due to increases in outsourced research contracts of $0.8 million, personnel costs of $0.5 million, and outsourced clinical development costs of $0.6 million; offset in part by a decrease of $0.6 million in license fees and a $0.3 million decrease in share-based compensation. We expect to incur substantial research and development expenses during the remainder of 2016 as we continue clinical development activities for our tipifarnib product candidate, plan for the IND submission for KO-947 and further research and development of our other programs.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ind w:firstLine="518"/>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 increase in general and administrative expenses for the three months ended March 31, 2016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2015 was primarily due to increased costs associated with being a public company and includes increases in patent related costs of $0.4 million, professional and consulting fees of $0.3 million, personnel costs of $0.3 million, and corporate expenses of $0.2 million. We expect to incur substantial general and administrative expenses during the remainder of 2016 to support our planned increase in research and development activities and maintain activities associated with being a public company.</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The increase in other income, net for the three months ended March 31, 2016 compared to the same period in 2015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increase in interest income on our short-term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Since our inception, we have funded our operations primarily through equity and debt financings. We have devoted our resources to funding research and development programs, including discovery research, preclinical and clinical development activities. As of March 31, 2016, we had cash, cash equivalents and short-term investments of $78.5 million. In April 2016, we entered into the loan agreement with the lenders providing for up to $20.0 million in term loans. Under the loan agreement, we have borrowed $7.5 million and may borrow up to an additional $12.5 million at any time between December 31, 2016 and May 1, 2017, subject to our successful advancement of KO-947 into Phase 1 clinical trials. See Note 8, Subsequent Event, for further details of the term loan facility. Although we believe that our existing cash resources, including the proceeds and funds available under our term loan facility, will be sufficient to fund our cash requirements into 2018, we will require significant additional financing in the future to continue to fund our operations. 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have incurred operating losses since inception and negative cash flows from operating activities. As of March 31, 2016, we had an accumulated deficit of $32.9 million. We expect to continue to incur significant losses for the foreseeable future, and we expect the losses to increase as we continue the development of, and seek regulatory approvals for, our product candidates and begin to commercialize any approved products. To date, we have not generated any revenues from product sales, and we do not have any approved products. We do not know when, or if, we will generate any revenue from product sales. We do not expect to generate significant revenue from product sales unless and until we obtain regulatory approval of and commercialize one of our current or future product candidates. We are subject to all of the risks incident in the development of new therapeutic products,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7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stock offerings, debt financings, collaborations, strategic partnerships and licensing arrangements. Other than our term loan facility, we do not have any committed external source of funds. Additional capital may not be available on reasonable terms, if at all. Subject to limited exceptions, our term loan facility also prohibits us from incurring indebtedness without the prior written consent of the lenders. To the extent that we raise additional capital through the sale of stock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increased fixed payment obligations and covenants limiting or restricting our ability to take specific actions, such as incurring additional debt, making capital expenditures, declaring dividends, selling or licensing intellectual property rights and other operating restrictions that could adversely impact our ability to conduct our business. If we raise additional funds through collaborations, strategic partnerships or licensing arrangements with third parties, we may have to relinquish valuable rights to our product candidates, including our other technologies, future revenue streams or research programs, or grant licenses on terms that may not be favorable to us. If we are unable to raise additional funds when needed, we may be unable to carry out our business plan. As a result we may be required to delay, limit, reduce or terminate our product development or future commercialization efforts or grant rights to develop and commercialize our product candidates even if we would otherwise prefer to develop and commercialize such product candidates ourselves and our business, financial condition and results of operations would be materially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left="520"/>
        <w:spacing w:after="0"/>
        <w:rPr>
          <w:sz w:val="20"/>
          <w:szCs w:val="20"/>
          <w:color w:val="auto"/>
        </w:rPr>
      </w:pPr>
      <w:r>
        <w:rPr>
          <w:rFonts w:ascii="Arial" w:cs="Arial" w:eastAsia="Arial" w:hAnsi="Arial"/>
          <w:sz w:val="17"/>
          <w:szCs w:val="17"/>
          <w:color w:val="auto"/>
        </w:rPr>
        <w:t>The following table provides a summary of our net cash flow activities for the three months ended March 31, 2016 and 2015,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40" w:type="dxa"/>
            <w:vAlign w:val="bottom"/>
            <w:gridSpan w:val="5"/>
          </w:tcPr>
          <w:p>
            <w:pPr>
              <w:jc w:val="center"/>
              <w:ind w:left="462"/>
              <w:spacing w:after="0"/>
              <w:rPr>
                <w:sz w:val="20"/>
                <w:szCs w:val="20"/>
                <w:color w:val="auto"/>
              </w:rPr>
            </w:pPr>
            <w:r>
              <w:rPr>
                <w:rFonts w:ascii="Arial" w:cs="Arial" w:eastAsia="Arial" w:hAnsi="Arial"/>
                <w:sz w:val="16"/>
                <w:szCs w:val="16"/>
                <w:b w:val="1"/>
                <w:bCs w:val="1"/>
                <w:color w:val="auto"/>
                <w:w w:val="93"/>
              </w:rPr>
              <w:t>Three Months Ended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6"/>
                <w:szCs w:val="16"/>
                <w:b w:val="1"/>
                <w:bCs w:val="1"/>
                <w:color w:val="auto"/>
                <w:w w:val="97"/>
              </w:rPr>
              <w:t>March 31,</w:t>
            </w:r>
          </w:p>
        </w:tc>
        <w:tc>
          <w:tcPr>
            <w:tcW w:w="5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6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(7,314)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(4,123)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56,580</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The increase in net cash used in operating activities during the three months ended March 31, 2016 was primarily due to an increase in net loss of $2.2 million and an increase in accounts payable and accrued expenses of $1.9 million, offset by a decrease in other liabilities of $1.0 million.</w:t>
      </w:r>
    </w:p>
    <w:p>
      <w:pPr>
        <w:spacing w:after="0" w:line="14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Net cash provided by investing activities for the three months ended March 31, 2016 consisted mainly of $12.2 million of proceeds from maturities of marketable securities; offset in part by $4.0 million purchases of marketable securities.</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2015 consisted of the receipt of $51.6 million in net proceeds from the sale of common stock in March 2015 and $5.0 million in proceeds from the issuance of convertible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2016, we did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 of the Company</w:t>
      </w:r>
    </w:p>
    <w:p>
      <w:pPr>
        <w:spacing w:after="0" w:line="12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condensed financial statements, which have been prepared in accordance with U.S. generally accepted accounting principles. The preparation of these condensed financial statements requires management to make estimates and judgments that affect the reported amounts of assets, liabilities, revenues and expenses and the disclosure of contingent assets and liabilities in our condensed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There have been no material changes to our critical accounting policies and estimates from the information provided in Part II, Item 7, “Management’s Discussion and Analysis of Financial Condition and Results of Operations – Critical Accounting Policies and Management Estimates,” included in our Annual Report on Form 10-K for the fiscal year ended December 31,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 for smaller reporting companies.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required by the Exchange Act is recorded, processed, summarized and reported within the timelines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designed and operated, can only provide reasonable assurance of achieving the desired control objectives, and in reaching a reasonable level of assurance, management was required to apply its judgment in evaluating the cost-benefit relationship of possible controls and procedures.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quarter ended March 31, 2016 that have materially affected, or are reasonably likely to materially affect, our internal control over financial reporting.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currently are not a party to any legal proceedings, the adverse outcome of which, in management’s opinion, individually or in the aggregate, would have a material adverse effect on our results of operations or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In addition to the information included or incorporated by reference in this Quarterly Report and in our other public filings, you should carefully consider the risks described below in evaluating our company. Our business, financial condition or results of operations could be harmed by any of these risks. The risks and uncertainties described below are not the only ones we face. Additional risks not currently known to us or other factors not perceived by us to present significant risks to our business at this time also may impair our business operations. We have marked with an asterisk (*) those risk factors that reflect changes from the risk factors previously disclosed in Item 1A of our Annual Report on Form 10-K for the fiscal year ended December 31, 2015, filed with the SEC on March 17,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losses over the next several years and may never achieve or maintain profitability.*</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expect that it will be many years, if ever, before we have a product candidate ready for commercialization. To date, we have financed our operations primarily through equity and debt financings. We expect to continue to incur significant expenses and increasing operating losses for the foreseeable future. The net losses we incur may fluctuate significantly from quarter-to-quarter and year-to-year. We anticipate that our expenses will increase substantially if and as we:</w:t>
      </w:r>
    </w:p>
    <w:p>
      <w:pPr>
        <w:spacing w:after="0" w:line="79"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new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increased costs as a result of continued operations as a public company.</w:t>
      </w:r>
    </w:p>
    <w:p>
      <w:pPr>
        <w:spacing w:after="0" w:line="225"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from the FDA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discovery and preclinical development efforts, expand our business or continue our operations. A decline in the value of our company could also cause you to lose all or part of your investment.</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clinical-stage company with no approved products and no historical product revenue. Consequently, we expect that our financial and operating results will vary significantly from period to period.</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 clinical-stage company that has incurred losses since our inception and expect to continue to incur substantial losses in the foreseeable future. Biopharmaceutical product development is a highly speculative undertaking and involves a substantial degree of uncertainty. We expect our actual financial condition and operating results to fluctuate significantly from quarter-to-quarter or year-to-year due to a variety of factors, many of which are beyond our control. Factors relating to our business that may contribute to these fluctuations include:</w:t>
      </w:r>
    </w:p>
    <w:p>
      <w:pPr>
        <w:spacing w:after="0" w:line="79"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our clinical trials through all phases of clinical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commencement, enrollment and timing of clinical trials;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secure and maintain collaborations, licensing or other arrangements for the future development and/or commercialization of our product candidates, as well as the terms of those arrangements;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as well as the timeliness of obtaining, additional funding to develop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clinical trials or marketing applications for product candidates that may compete with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receive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 side effects of our product candidates that could delay or prevent approval or cause an approved drug to be taken off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delays in regulatory review and approval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and the ability of third parties such as contract research organizations, or CROs, to adhere to clinical study and other regulatory requirements;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third-party manufacturers to manufacture our product candidates and key ingredients needed to conduct clinical trials and, if approved, successfully commercialize our products;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to us, and our ability as well as the ability of any third-party collaborators, to obtain, maintain and protect our intellectual property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and outcomes of any future intellectual property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build our finance infrastructure and, to the extent required, improve our accounting systems and controls.</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Accordingly, the likelihood of our success must be evaluated in light of many potential challenges and variables associated with a clinical-stage company, many of which are outside of our control, and past operating or financial results should not be relied on as an indication of future results. Fluctuations in our operating and financial results could cause our share price to decline. It is possible that in some future periods, our operating results will be above or below the expectations of securities analysts or investors, which could also cause our share price to decline.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are an early-stage clinical development company. Our operations to date have been limited to organizing and staffing our company, business planning, raising capital, identifying and acquiring potential product candidates, undertaking preclinical studies and preparing for and undertaking clinical studies of our most advanced product candidate, tipifarnib. We have not yet demonstrated our ability to successfully complete any clinical trials, including those clinical trials in support of FDA approval, obtain marketing approvals, manufacture a commercial scale product, or arrange for a third-party to do so on our behalf, or conduct sales and marketing activities necessary for successful product commercialization. Medicines, on average, take 10 to 15 years to be developed from the time they are discovered to the time they are available for treating patients. Consequently, any predictions you make about our future success or viability based on our short operating history to date may not be as accurate as they could be if we had a longer operating history.</w:t>
      </w:r>
    </w:p>
    <w:p>
      <w:pPr>
        <w:spacing w:after="0" w:line="16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may in the future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will need to obtain substantial additional capital in connection with our continuing operations. Raising additional capital may cause dilution to our stockholders, restrict our operations or require us to relinquish rights to our technologies or product candidates.*</w:t>
      </w:r>
    </w:p>
    <w:p>
      <w:pPr>
        <w:spacing w:after="0" w:line="3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Until such time, if ever, as we can generate substantial product revenues, we will need to raise additional capital in connection with our continuing operations. We expect to finance our cash needs through a combination of equity offerings and debt financings. In April 2016, we entered into the loan agreement with the lenders providing for up to $20.0 million in term loans. Under the terms of the loan agreement, the lenders have initially provided us with a term loan of $7.5 million, with an additional $12.5 million available at any time between December 31, 2016 and May 1, 2017, subject to our successful advancement of KO-947 into Phase 1 clinical trials. Other than our term loan facility,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rights of our stockholders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While any amounts are outstanding under our term loan facility, we are subject to a number of affirmative and restrictive covenants, including covenants regarding delivery of financial statements, maintenance of inventory, payment of taxes, maintenance of insurance, dispositions of property, business combinations or acquisitions, incurrence of additional indebtedness and transactions with affiliates, among other customary covenants. If we default under our term loan facility, the lenders may accelerate all of our repayment obligations and take control of our pledged assets, potentially requiring us to renegotiate our agreement on terms less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favorable to us or to immediately cease operations. Further, if we are liquidated, the lenders’ right to repayment would be senior to the rights of the holders of our common stock to receive any proceeds from the liquidation. The lenders could declare a default under our term loan facility upon the occurrence of an event of default, which includes our failure to satisfy our payment obligations under the loan agreement, the breach of certain of our other covenants under the loan agreement or the occurrence of a material adverse change,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cannot be certain that additional funding will be available on acceptable terms, or at all. Subject to limited exceptions, our term loan facility also prohibits use from incurring indebtedness without the prior written consent of the lenders. If we are unable to raise additional funds when needed, we may be required to delay, limit, reduce or terminate our product development or future commercialization efforts.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discovery, preclinical and clinical development is focused on the development of targeted therapeutics for patients with genetically defined cancers, which is a rapidly evolving area of science, and the approach we are taking to discover and develop drugs is novel and may never lead to marketable products.</w:t>
      </w:r>
    </w:p>
    <w:p>
      <w:pPr>
        <w:spacing w:after="0" w:line="73"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discovery and development of targeted drug therapeutics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The patient populations for our product candidates are not completely defined but are substantially smaller than the general treated cancer population, and we will need to screen and identify these patients. Successful identification of patients is dependent on several factors, including achieving certainty as to how specific genetic alterations respond to our product candidates and developing companion diagnostics to identify such genetic alterations. Furthermore, even if we are successful in identifying patients, we cannot be certain that the resulting patient populations will be large enough to allow us to successfully commercialize our products and achieve profitability. Therefore, we do not know if our approach of treating patients with genetically defined cancers will be successful. If our approach is unsuccessful, our business will suffer.</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research and development programs and product candidates are at an early stage of development. As a result we are unable to predict if or when we will successfully develop or commercialize our product candidates.*</w:t>
      </w:r>
    </w:p>
    <w:p>
      <w:pPr>
        <w:spacing w:after="0" w:line="6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Our clinical-stage product candidate, tipifarnib, as well as our other pipeline assets are at an early stage of development and will require significant investment and regulatory approvals prior to commercialization. We currently have no product candidates beyond Phase 2 clinical trials. We commenced a Phase 2 clinical trial of tipifarnib in advanced solid tumors with the HRAS mutation in May 2015, a Phase 2 clinical trial in PTCL in September 2015 and a Phase 2 clinical trial in patients with lower risk MDS in May 2016. We anticipate initiating a Phase 2 clinical trial in patients with CMML in the second half of 2016. Our development candidate in our ERK program, KO-947, is in IND-enabling pre-clinical development, and our other programs, including our menin-MLL program, are in earlier stages of discovery and development. Each of our product candidates will require additional clinical and preclinical development, management of clinical, preclinical and manufacturing activities, obtaining regulatory approval, obtaining manufacturing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In addition, our product development programs contemplate the development of companion diagnostics. Companion diagnostics are subject to regulation as medical devices and we may be required to obtain marketing approval for accompanying companion diagnostics before we may commercialize our product candidates.</w:t>
      </w:r>
    </w:p>
    <w:p>
      <w:pPr>
        <w:spacing w:after="0" w:line="16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cannot be certain that clinical development of tipifarnib, KO-947 or any of our other product candidates will be successful or that we will obtain regulatory approval or be able to successfully commercialize any of our product candidates and generate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6"/>
          <w:szCs w:val="16"/>
          <w:color w:val="auto"/>
        </w:rPr>
        <w:t>revenue. Success in preclinical testing and early clinical trials does not ensure that later clinical trials will be successful, and the clinical trial process may fail to demonstrate that our product candidates are safe and effective for their proposed uses. Any such failure could cause us to abandon further development of any one or more of our product candidates and may delay development of other product candidates. Product candidates in later stages of clinical trials may fail to show the desired safety and efficacy traits despite having progressed through preclinical studies and initial clinical trials. Tipifarnib has been studied in more than 5,000 oncology patients and was generally well tolerated and exhibited a manageable side effect profile. However, there is no guarantee that unacceptable side effects will not be identified at the doses and schedules we are using or plan to use in our clinical trials of tipifarnib. In prior studies tipifarnib demonstrated anti-cancer activity in certain patient subsets. However the anti-cancer activity observed was not sufficient to support marketing approval by the FDA in the indication in which it was sought. Although we are designing our clinical trials to target the patient subsets who we believe are most likely to benefit from treatment with tipifarnib, there is no guarantee that our clinical trials will be successful. A number of companies in the biopharmaceutical industry have suffered significant setbacks in advanced clinical trials due to lack of efficacy or adverse safety profiles, notwithstanding promising results in earlier clinical trials. Any delay in, or termination of, our clinical trials will delay and possibly preclude the filing of any new drug applications, or NDAs, with the FDA and, ultimately, our ability to commercialize our product candidates and generate product revenue.</w:t>
      </w:r>
    </w:p>
    <w:p>
      <w:pPr>
        <w:spacing w:after="0" w:line="16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any of our product candidates will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our or our future collaborators’ ability to obtain regulatory approval of the companion diagnostics to be used with our product candidates, if required, as well as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Difficulty in enrolling patients could delay or prevent clinical trials of our product candidates. We may find it difficult to enroll patients in our Phase 2 clinical trials for tipifarnib.*</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trials if we encounter difficulties in enrollment. With regard to our Phase 2 clinical trial in PTCL, we anticipate enrollment will take longer than initially planned. There are a limited number of patients with PTCL, as well as a limited number of clinical centers that treat these patients, and there is substantial competition to recruit these patients to clinical trials.</w:t>
      </w:r>
    </w:p>
    <w:p>
      <w:pPr>
        <w:spacing w:after="0" w:line="18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addition to the potentially small populations, the eligibility criteria of our clinical trials will further limit the pool of available study participants as we will require that patients have specific characteristics that we can measure or to assure their disease is either severe enough or not too advanced to include them in a study. Additionally, the process of finding and diagnosing patients may prove costly. We also may not be able to identify, recruit and enroll a sufficient number of patients to complete our clinical studies because of the perceived risks and benefits of the product candidate under study including the number and frequency of study required procedures and tests, the availability and efficacy of competing therapies and clinical trials, the proximity and availability of clinical study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6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 In addition, any delays in completing our clinical trials will increase our costs, slow down our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including:</w:t>
      </w:r>
    </w:p>
    <w:p>
      <w:pPr>
        <w:spacing w:after="0" w:line="57"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safety issues or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our companion diagnostics in identifying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modifications to protocols of our clinical trials resulting from FDA or institutional review board, or IRB, decisions;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ambiguous or negative interim results of our clinical trials, or results that are inconsistent with earlier results.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A key element of our strategy is to build a pipeline of small molecule product candidates that inhibit cancer signaling targets where we believe outcomes can be improved by using molecular diagnostics to identify those patients whose tumors have the genetic mutations most likely to respond to treatment, and to progress those product candidates through clinical development for the treatment of a variety of different types of cancer. We may not be able to develop product candidates that are safe and effective inhibitors of all or any of these targets. Even if we are successful in building a product pipeline, the potential product candidates that we identify may not be suitable for clinical development for a number of reasons, including causing harmful side effects or demonstrating other characteristics that indicate a low likelihood of receiving marketing approval or achieving market acceptance. If our methods of identifying potential product candidates fail to produce a pipeline of potentially viable product candidates, then our success as a business will be dependent on the success of fewer potential product candidates, which introduces risks to our business model and potential limitations to any success we may achieve.</w:t>
      </w:r>
    </w:p>
    <w:p>
      <w:pPr>
        <w:spacing w:after="0" w:line="2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risk of failure for all of our product candidates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and can take many years to complete, and its outcome is inherently uncertain. Failure can occur at any time during the clinical trial process. Further, the results of preclinical studies and early clinical trials of our product candidates may not be predictive of the results of subsequent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For instance, the FDA issued a non-approval letter for tipifarnib in AML in June 2005. It is impossible to predict when or if any of our product candidates will prove effective or safe in humans or will receive regulatory approval.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both"/>
        <w:ind w:firstLine="518"/>
        <w:spacing w:after="0" w:line="270" w:lineRule="auto"/>
        <w:rPr>
          <w:sz w:val="20"/>
          <w:szCs w:val="20"/>
          <w:color w:val="auto"/>
        </w:rPr>
      </w:pPr>
      <w:r>
        <w:rPr>
          <w:rFonts w:ascii="Arial" w:cs="Arial" w:eastAsia="Arial" w:hAnsi="Arial"/>
          <w:sz w:val="17"/>
          <w:szCs w:val="17"/>
          <w:color w:val="auto"/>
        </w:rPr>
        <w:t>We may experience delays in our clinical trials and we do not know whether planned clinical trials will begin or enroll patients on time, need to be redesigned or be completed on schedule, if at all. If the FDA or IRBs have comments on our study plans for our ongoing or planned Phase 2 clinical trials of tipifarnib or our planned Phase 1 clinical trial of KO-947 that we are required to address, such studies may be delayed, or may not start at all. Clinical trials may be delayed, suspended or prematurely terminated at any time by us or by the FDA or other similar regulatory agency if it is determined at any time that patients may be or are being exposed to unacceptable health risks, including risk of death, or if compounds are not manufactured in compliance with current good manufacturing practice, or cGMP, regulations or with acceptable quality. There can be no assurance that the FDA will not put any of our product candidates on clinical hold in the future. We may experience numerous unforeseen events during, or as a result of, clinical trials that could delay or prevent our ability to receive marketing approval or commercialize our product candidates. Clinical trials may be delayed, suspended or prematurely terminated because costs are greater than we anticipate or for a variety of reasons, such as:</w:t>
      </w:r>
    </w:p>
    <w:p>
      <w:pPr>
        <w:spacing w:after="0" w:line="74"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generate sufficient preclinical, toxicology, or other in vivo or in vitro data to support the initiation or continuation of clinical trials;</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in reaching agreement with the FDA or a comparable foreign regulatory authority on a clinical trial design that we are able to execute;</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clinical trial or inability to comply with conditions imposed by a regulatory authority regarding the scope or design of a clinical trial;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clinical trial sites;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delay, or failure in identifying and maintaining a sufficient number of clinical trial sites, many of which may already be engaged in other clinical programs;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subjects to participate in a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in having subjects complete a clinical trial or return for post-treatment follow-up;</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and investigators deviating from clinical trial protocol, failing to conduct the clinical trial in accordance with regulatory requirements, or dropping out of a clinical trial;</w:t>
      </w:r>
    </w:p>
    <w:p>
      <w:pPr>
        <w:spacing w:after="0" w:line="62"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 including the incurrence of unforeseen costs due to enrollment delays, requirements to conduct additional clinical studies and increased expenses associated with the services of our CROs and other third parties;</w:t>
      </w:r>
    </w:p>
    <w:p>
      <w:pPr>
        <w:spacing w:after="0" w:line="38" w:lineRule="exact"/>
        <w:rPr>
          <w:rFonts w:ascii="Arial" w:cs="Arial" w:eastAsia="Arial" w:hAnsi="Arial"/>
          <w:sz w:val="17"/>
          <w:szCs w:val="17"/>
          <w:color w:val="auto"/>
        </w:rPr>
      </w:pPr>
    </w:p>
    <w:p>
      <w:pPr>
        <w:ind w:left="1040" w:hanging="519"/>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and we may decide, or regulators may require us, to redesign or modify our clinical trial protocols, conduct additional clinical trials or abandon product development programs;</w:t>
      </w:r>
    </w:p>
    <w:p>
      <w:pPr>
        <w:spacing w:after="0" w:line="38" w:lineRule="exact"/>
        <w:rPr>
          <w:rFonts w:ascii="Arial" w:cs="Arial" w:eastAsia="Arial" w:hAnsi="Arial"/>
          <w:sz w:val="17"/>
          <w:szCs w:val="17"/>
          <w:color w:val="auto"/>
        </w:rPr>
      </w:pPr>
    </w:p>
    <w:p>
      <w:pPr>
        <w:ind w:left="1040" w:hanging="519"/>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or difficulties in the enrollment of patients whose tumors harbor the specific genetic alterations that our product candidates are designed to target;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difficulty partnering with experienced CROs that can screen for patients whose tumors harbor the applicable genetic alterations and run our clinical trials effectively;</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changes in governmental regulations or administrative actions.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clinical trials or tests are not positive or are only modestly positive or if there are safety concerns, we may:</w:t>
      </w:r>
    </w:p>
    <w:p>
      <w:pPr>
        <w:spacing w:after="0" w:line="73"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that would reduce the potential market for our products or inhibit our ability to successfully commercialize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restrictions and/or testing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We do not know whether any of our preclinical studies or clinical trials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advancing the clinical development of our product candidates, including tipifarnib.</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order to execute on our strategy of advancing the clinical development of our product candidates, we have designed our Phase 2 clinical trials of tipifarnib, and expect to design future clinical trials, to include patients whose tumors harbor the applicable genetic alterations that we believe contribute to particular cancer subsets. Our goal in doing this is to enroll patients who have the highest probability of responding to the drug, in order to show early and statistically significant evidence of clinical efficacy. If we are unable to include patients whose tumors harbor the applicable genetic alterations, or if our product fails to work as we expect, our ability to assess the therapeutic effect, seek participation in FDA expedited review and approval programs, including Breakthrough Therapy, Fast Track Designation, Priority Review and Accelerated Approval, or otherwise to seek to accelerate clinical development and regulatory timelines, could be compromised, resulting in longer development times, larger clinical trials and a greater likelihood of not obtaining regulatory approval. In addition, because the natural history of different tumor types is variable, we will need to study our product candidates, including tipifarnib, in clinical trials specific for a given tumor type and this may result in increased time and cost. Even if our product candidate demonstrates efficacy in a particular tumor type, we cannot guarantee that any product candidate, including tipifarnib, will behave similarly in all tumor types, and we will be required to obtain separate regulatory approvals for each tumor type we intend a product candidate to treat. If any of our clinical trials are unsuccessful, our business will suffer.</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Preclinical and clinical testing of tipifarnib that has been conducted to date may not have been performed in compliance with applicable regulatory standards, which could lead to increased costs or material delays for their further development.</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licensed the rights to develop our lead product candidate, tipifarnib, from Janssen in December 2014, and the development of tipifarnib prior to our license was conducted wholly by Janssen or any third parties with which it had contracted. As a result, we were not involved with nor did we have any control over any of those development activities. Because we had no input on Janssen’s development activities relating to tipifarnib, we may discover that all or certain elements of the clinical trials and studies it performed have not been in compliance with applicable regulatory standards or have otherwise been deficient, particularly relative to current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requirements as development of tipifarnib began in the 1990’s. Any such deficiency in the prior development of tipifarnib may adversely affect our ability to obtain regulatory approval for tipifarnib.</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may cause serious adverse events or have unacceptable side effects that could delay, limit or prevent their development.*</w:t>
      </w:r>
    </w:p>
    <w:p>
      <w:pPr>
        <w:spacing w:after="0" w:line="14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our product candidates are associated with unacceptable side effects in preclinical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Tipifarnib has been studied in more than 5,000 oncology patients and was generally well tolerated and exhibited a manageable side effect profile. The most common hematologic adverse events of any grade were neutropenia (low white blood cell count), anemia and thrombocytopenia (low platelet count). The most common non-hematologic adverse events of any grade were gastrointestinal system disorders (nausea, anorexia, diarrhea and vomiting), fatigue and rash. Treatment discontinuation across the prior tipifarnib clinical studies has been in the range of approximately 20-25%. There is no guarantee that additional or more severe side effects will not be identified through further clinical studies. Rights to develop tipifarnib in certain non-oncology indications have been granted by Janssen to EB Pharma LLC, or EB Pharma, a subsidiary of Eiger BioPharmaceuticals. Janssen may grant rights to other non-oncology indications to other third parties. Undesirable side effects may be identified in clinical trials that EB Pharma or any other third party may conduct in non-oncology indications, which may negatively impact the development, commercialization or potential value of tipifarnib.</w:t>
      </w:r>
    </w:p>
    <w:p>
      <w:pPr>
        <w:spacing w:after="0" w:line="16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have not yet initiated clinical trials of KO-947, and it is likely that there may be side effects associated with its use in humans. Any observed drug-related side effects could affect patient recruitment or the ability of enrolled patients to complete the clinical trial or result in potential product liability claims. Additionally, if results of our trials for tipifarnib, KO-947 or other product candidates reveal an unacceptable frequency and severity of serious adverse events or side effects, our trials could be suspended or terminated and the FDA or comparable foreign regulatory agencies could require us to cease further development of, or deny approval of, our product candidates for any or all targeted indications. Many compounds developed in the biopharmaceutical industry that initially showed promise in early-stage testing for treating cancer have later been found to cause side effects that prevented further development of those compounds. Any of these occurrences may harm our business, financial condition and prospects significantly.</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discovery and preclinical development programs and product candidates for specific indications may not yield any commercially viable products.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successfully validate, develop and obtain regulatory approval for companion diagnostics for our product candidates could harm our drug development strategy and operational results.*</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one of the central elements of our business strategy and clinical development approach, we seek to screen and identify subsets of patients with a genetic alteration who may derive meaningful benefit from our product candidates. To achieve this, certain of our programs may be dependent on the development and commercialization of a companion diagnostic. We intend to partner development of companion diagnostics for use in clinical trials and, if successful, for commercialization of our product candidates. Companion diagnostics are developed in conjunction with clinical programs for the associated product and are subject to regulation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jc w:val="both"/>
        <w:spacing w:after="0" w:line="297" w:lineRule="auto"/>
        <w:rPr>
          <w:sz w:val="20"/>
          <w:szCs w:val="20"/>
          <w:color w:val="auto"/>
        </w:rPr>
      </w:pPr>
      <w:r>
        <w:rPr>
          <w:rFonts w:ascii="Arial" w:cs="Arial" w:eastAsia="Arial" w:hAnsi="Arial"/>
          <w:sz w:val="16"/>
          <w:szCs w:val="16"/>
          <w:color w:val="auto"/>
        </w:rPr>
        <w:t>medical devices. Each agency that approves a product will independently need to approve the companion diagnostic before or concurrently with its approval of the product candidate, and before a product can be commercialized. The approval of a companion diagnostic as part of the product label will limit the use of the product candidate to only those patients who express the specific genetic alteration it was developed to detect. We may also experience delays in developing a sustainable, reproducible and scalable manufacturing process or transferring that process to commercial partners or negotiating insurance reimbursement plans, all of which may prevent us from completing our clinical trials or commercializing our products on a timely or profitable basis, if at all.</w:t>
      </w:r>
    </w:p>
    <w:p>
      <w:pPr>
        <w:spacing w:after="0" w:line="15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our Phase 2 trial of tipifarnib in advanced cancers with HRAS mutations, patients are being enrolled based on information from the clinical sites on the patients’ tumor HRAS mutation status. Typically, this information is being obtained by the clinical sites from next-generation sequencing, or NGS, panels used by the site to characterize patients’ tumors. If the results of our Phase 2 clinical trials are positive, we plan to partner development and validation of a companion diagnostic test to aid in the selection of patients with HRAS mutant tumors in subsequent clinical trials of tipifarnib and to prepare and submit an investigational device exemption for use of the reaction-based assay in the clinical trial. We expect that the companion diagnostic test will either be a qualitative polymerase chain reaction-based assay or an NGS-based assay. The results of NGS panels being currently used at sites may not be accurate or consistent across sites, and our development of tipifarnib or a companion diagnostic may be delayed or complicated by a change in assay methodology.</w:t>
      </w:r>
    </w:p>
    <w:p>
      <w:pPr>
        <w:spacing w:after="0" w:line="16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as medical devices and require separate clearance or approval prior to their commercialization. To date, the FDA has required premarket approval of all companion diagnostics for cancer therapies. We and our third-party collaborators may encounter difficulties in developing and obtaining approval for these companion diagnostics. Any delay or failure by us or third- party collaborators to develop or obtain regulatory approval of a companion diagnostic could delay or prevent approval of our related product candidates.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by us or our third-party collaborators to successfully commercialize companion diagnostics developed for use with our product candidates could harm our ability to commercialize these product candidates.</w:t>
      </w:r>
    </w:p>
    <w:p>
      <w:pPr>
        <w:spacing w:after="0" w:line="6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Even if we or our companion diagnostic collaborators successfully obtain regulatory approval for the companion diagnostics for our product candidates, our collaborators:</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not perform their obligations as expected;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may not pursue commercialization of companion diagnostics for our therapeutic product candidates that achieve regulatory approval;</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elect not to continue or renew commercialization programs based on changes in the collaborators’ strategic focus or available funding, or external factors, such as an acquisition, that divert resources or create competing priorities;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such product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Additionally, we or our collaborators may encounter production difficulties that could constrain the supply of the companion diagnostics, affect the ease of use, affect the price or have difficulties gaining acceptance of the use of the companion diagnostics in the clinical community.</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If companion diagnostics for use with our product candidates fail to gain market acceptance, our ability to derive revenues from sales of our product candidates could be harmed. If we or our collaborators fail to commercialize these companion diagnostics, we may not be able to enter into arrangements with another diagnostic company to obtain supplies of an alternative diagnostic test for use in connection with our product candidates or do so on commercially reasonable terms, which could adversely affect and delay the development or commercialization of our product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contractors and organizations to conduct our clinical trials, and those third parties may not perform satisfactorily, including failing to meet deadlines for the completion of such clinical trials.*</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rely on third party contractors, clinical data management organizations, independent contractors, medical institutions and clinical investigators to support our pre-clinical development activities and conduct our clinical trials, including our Phase 2 clinical trials of tipifarnib. These agreements may terminate for a variety of reasons, including a failure to perform by the third parties. If we are required to enter into alternative arrangements, our product development activities would be delayed.</w:t>
      </w:r>
    </w:p>
    <w:p>
      <w:pPr>
        <w:spacing w:after="0" w:line="18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compete with many other companies, some of which may be our competitors, for the resources of these third parties.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reliance on these third parties to conduct our clinical trials will reduce our control over these activities but will not relieve us of our responsibilities. For example, we will remain responsible for ensuring that each of our clinical trials is conducted in accordance with the general investigational plan and protocols for the clinical trial. Moreover, the FDA and other regulatory authorities require us to comply with good clinical practices for conducting, recording and reporting the results of clinical trials to assure that data and reported results are credible and accurate and that the rights, integrity and confidentiality of clinical trial participants are protected. We are also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Additionally, we rely substantially on third-party data managers for our clinical trial data. There is no assurance that these third parties will not make errors in the design, management or retention of our data or data systems. There is no assurance that these third parties will pass FDA or other regulatory audits, which could delay or prevent regulatory approval.</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spacing w:after="0" w:line="5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do not own or operate facilities for the manufacture of our product candidates, and we do not have any manufacturing personnel. We currently have no plans to build our own clinical or commercial scale manufacturing capabilities. Janssen has provided us with its existing inventory of clinical supply of tipifarnib. Janssen also provided us with its existing inventory of crude drug substance and bulk key intermediate for manufacture of drug substance for tipifarnib. A portion of the clinical supply of tablets of tipifarnib provided by Janssen have a non-uniform surface where the film coating on the tablets has worn away to a varying degree. We believe this surface erosion is a cosmetic defect only and has no impact on patient safety or the effectiveness of the tablets, and an insignificant impact on taste masking. We rely, and expect to continue to rely, on third parties, for the manufacture of additional clinical supplies of tipifarnib and our other product candidates for preclinical and clinical testing. We will rely on third parties as well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7"/>
          <w:szCs w:val="17"/>
          <w:color w:val="auto"/>
        </w:rPr>
        <w:t>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 We also expect to rely on other third parties to store and distribute drug supplies for our clinical trials.</w:t>
      </w:r>
    </w:p>
    <w:p>
      <w:pPr>
        <w:spacing w:after="0" w:line="16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manufacture of pharmaceutical products is complex and requires significant expertise and capital investment, including the development of drug formulation and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products or in the manufacturing facilities in which our products are made, such manufacturing facilities may need to be closed for an extended period of time to investigate and remedy the contamination. We plan to use a liquid formulation of KO-947 for intravenous, or IV, dosing in any clinical trials we may conduct for KO-947. It may be more difficult to maintain stability and sterility of a liquid formulation for IV dosing, than a solid formulation. We cannot assure you that any stability, microbial contamination or other issues relating to the manufacture of the liquid formulation of KO-947, or the manufacture any of our other product candidates, will not occur.</w:t>
      </w:r>
    </w:p>
    <w:p>
      <w:pPr>
        <w:spacing w:after="0" w:line="16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If we experience an unexpected loss of supply of our product candidates for any reason, whether as a result of manufacturing, supply or storage issues or otherwise, our business may be harmed and we may experience delays, disruptions, suspensions or terminations of, or we may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to the extent that we are required to have fresh product candidate supplies manufactured to satisfy regulatory requirements or specifications. Any significant delay or discontinuation in the supply a product candidate, or the raw material components thereof, due to the need to replace a contract manufacturer or other third-party manufacturer could considerably harm our business and delay completion of our clinical trials, product testing and potential regulatory approval of our product candidates. Any performance failure on the part of our existing or future manufacturers or distributors could delay clinical development or marketing approval of our product candidates or commercialization of our products, producing additional losses and depriving us of potential product revenue.</w:t>
      </w:r>
    </w:p>
    <w:p>
      <w:pPr>
        <w:spacing w:after="0" w:line="16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7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Our product candidates must be approved by the FDA pursuant to an NDA in the United States and by the European Medicines Agency, or EMA, and similar regulatory authorities outside the United States prior to commercialization.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jurisdiction. We have no experience in filing and supporting the applications necessary to gain marketing approvals and expect to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benefit from available regulatory exclusivity periods if another company obtains regulatory approval for tipifarnib before we do.*</w:t>
      </w:r>
    </w:p>
    <w:p>
      <w:pPr>
        <w:spacing w:after="0" w:line="15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the composition of matter patents covering tipifarnib expire in 2016 in the United States and in countries in Europe, our commercial strategy for tipifarnib relies on obtaining other patents related to tipifarnib and on non-patent regulatory exclusivity. In the United States, a pharmaceutical manufacturer may obtain five years of non-patent exclusivity upon FDA approval of an NDA for a new chemical entity, which is a drug that contains an active moiety that has not been approved by the FDA in any other NDA. An “active moiety” is defined as the molecule or ion responsible for the drug substance’s physiological or pharmacologic action. During the five year exclusivity period, the FDA cannot accept for filing any abbreviated new drug application seeking approval of a generic version of that drug or any Section 505(b)(2) NDA for the same active moiety and that relies on the FDA’s findings regarding that drug, except that the FDA may accept an application for filing after four years if the follow-on applicant makes a paragraph IV certification. EB Pharma has licensed rights from Janssen to develop tipifarnib in certain indications outside of our exclusive field of oncology and Janssen may license rights to other non-oncology indications to other third parties. If EB Pharma or another third party obtains regulatory approval for tipifarnib in a non-oncology indication before we obtain regulatory approval in one of our oncology indications, the five year exclusivity period would commence on the date upon which EB Pharma or another third party obtains regulatory approval, and as a result, the period of regulatory exclusivity to which we may be entitled may be reduced or eliminated and the commercial prospects for tipifarnib would be harmed as a result.</w:t>
      </w:r>
    </w:p>
    <w:p>
      <w:pPr>
        <w:spacing w:after="0" w:line="180"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Additionally, if EB Pharma or another third party obtains approval of tipifarnib for another indication outside of oncology, EB Pharma or the other third party may sell tipifarnib at a lower price, which could adversely affect the price at which we could sell tipifarnib for oncology indications.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exclusivity for the product candidates for which we seek it, which could limit the potential profitability of such product candidates.</w:t>
      </w:r>
    </w:p>
    <w:p>
      <w:pPr>
        <w:spacing w:after="0" w:line="6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Generally, if a product with an orphan drug designation subsequently receives the first marketing approval for the indication for which it receives the designation, then the product is entitled to a period of marketing exclusivity that precludes the applicable regulatory authority from approving another marketing application for the same drug for the same indication during the exclusivity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if the manufacturer is unable to assure sufficient quantity of the drug to meet the needs of patients with the rare disease or condition.</w:t>
      </w:r>
    </w:p>
    <w:p>
      <w:pPr>
        <w:spacing w:after="0" w:line="16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expect that we may in the future pursue an orphan drug designation for at least some of our product candidates, including tipifarnib. However, obtaining an orphan drug designation can be difficult, and we may not be successful in doing so for any of our product candidates. Even if we were to obtain orphan drug exclusivity for a product candidate, that exclusivity may not effectively protect the product from the competition of different drugs for the same condition, which could be approved during the exclusivity period. Additionally, after an orphan drug is approved, the FDA could subsequently approve another application for the same drug for the same condition if the FDA concludes that the later drug is shown to be safer, more effective or makes a major contribution to patient care. The failure to obtain an orphan drug designation for any product candidates we may develop for the treatment of rare cancers, and/or the inability to maintain that designation for the duration of the applicable exclusivity period, could reduce our ability to make sufficient sales of the applicable product candidate to balance our expenses incurred to develop it, which would have a negative impact on our operational results and financial condition.</w:t>
      </w:r>
    </w:p>
    <w:p>
      <w:pPr>
        <w:spacing w:after="0" w:line="19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If we obtain an orphan drug designation and FDA approval of tipifarnib for an oncology indication, we would be entitled to seven years of marketing exclusivity for that orphan drug indication. However, if a competitor obtained approval of a generic form of tipifarnib for another indication, physicians would not be prevented from prescribing the generic drug for the orphan indication during the period of marketing exclusivity. Such prescribing practices could adversely affect the sales of tipifarnib for the orphan indication.</w:t>
      </w:r>
    </w:p>
    <w:p>
      <w:pPr>
        <w:spacing w:after="0" w:line="2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 Fast Track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3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do not currently have Fast Track Designation for any of our product candidates but intend to seek such designation. If a drug is intended for the treatment of a serious or life-threatening condition and the drug demonstrates the potential to address unmet medical needs for this condition, the drug sponsor may apply for the FDA Fast Track Designation. The FDA has broad discretion whether or not to grant this designation.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drugs that have received Fast Track Designation have failed to obtain drug approval.</w:t>
      </w:r>
    </w:p>
    <w:p>
      <w:pPr>
        <w:spacing w:after="0" w:line="2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3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do not currently have Breakthrough Therapy Designation for any of our product candidates, but we may seek such designation. A Breakthrough Therapy is defined as a drug that is intended, alone or in combination with one or more other drugs,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after completing early clinical trials,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such designations.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order to market and sell our products in the European Union and many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2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5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testing, manufacture, recordkeeping, labeling, storage, approval, advertising, promotion, sale and distribution, are subject to comprehensive regulation by FDA and other regulatory authorities. These requirements include, without limitation, submissions of safety and other post-marketing information and reports, registration and listing requirements, cGMP requirements relating to manufacturing, quality control, quality assurance and corresponding maintenance of records and documents, including periodic inspections by the FDA and other regulatory authorities, requirements regarding the distribution of samples to physicians, tracking and reporting of payments to physicians and other healthcare providers, and recordkeeping.</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ind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62"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and our general business operations will be subject to applicable anti-kickback, fraud and abuse and other healthcare laws and regulations, which could expose us to criminal sanctions, civil penalties, contractual damages, reputational harm and diminished profits and future earnings, among other penalties.*</w:t>
      </w:r>
    </w:p>
    <w:p>
      <w:pPr>
        <w:spacing w:after="0" w:line="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Healthcare providers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jc w:val="both"/>
        <w:ind w:left="1040" w:hanging="519"/>
        <w:spacing w:after="0" w:line="259"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among other things, executing a scheme to defraud any healthcare benefit program or making false statements relating to healthcare matters;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both"/>
        <w:ind w:left="10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the HITECH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certain drugs, devices, biologics, and medical supplies for which payment is available under Medicare, Medicaid, or the Children’s Health Insurance Program, with specific exceptions, to report annually to the Centers for Medicare &amp; Medicaid Services, or CMS, information related to payments and other transfers of value to physicians and teaching hospitals, as well as certain manufacturers and group purchasing organizations to report annually ownership and investment interests held by physicians or their immediate family; and</w:t>
      </w:r>
    </w:p>
    <w:p>
      <w:pPr>
        <w:spacing w:after="0" w:line="80" w:lineRule="exact"/>
        <w:rPr>
          <w:rFonts w:ascii="Arial" w:cs="Arial" w:eastAsia="Arial" w:hAnsi="Arial"/>
          <w:sz w:val="18"/>
          <w:szCs w:val="18"/>
          <w:color w:val="auto"/>
        </w:rPr>
      </w:pPr>
    </w:p>
    <w:p>
      <w:pPr>
        <w:jc w:val="both"/>
        <w:ind w:left="1040" w:hanging="519"/>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improve quality,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ACA of importance to our potential product candidates and our business are the following:</w:t>
      </w:r>
    </w:p>
    <w:p>
      <w:pPr>
        <w:spacing w:after="0" w:line="90"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left="1040" w:right="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21"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3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new requirement to annually report information regarding drug samples that manufacturers and distributors provide to physicians; and</w:t>
      </w:r>
    </w:p>
    <w:p>
      <w:pPr>
        <w:spacing w:after="0" w:line="8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w:t>
      </w:r>
    </w:p>
    <w:p>
      <w:pPr>
        <w:spacing w:after="0" w:line="170"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starting in 2013, that due to subsequent legislative amendments, will stay in effect through 2025 unless additional Congressional action is taken. In January 2013, President Obama signed into law the American Taxpayer Relief Act of 2012, which, among other things, reduced Medicare payments to certain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Further, recently there has been heightened governmental scrutiny over the manner in which manufacturers set prices for their marketed products.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 products.</w:t>
      </w:r>
    </w:p>
    <w:p>
      <w:pPr>
        <w:spacing w:after="0" w:line="16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both"/>
        <w:ind w:right="20"/>
        <w:spacing w:after="0" w:line="308" w:lineRule="auto"/>
        <w:rPr>
          <w:sz w:val="20"/>
          <w:szCs w:val="20"/>
          <w:color w:val="auto"/>
        </w:rPr>
      </w:pPr>
      <w:r>
        <w:rPr>
          <w:rFonts w:ascii="Arial" w:cs="Arial" w:eastAsia="Arial" w:hAnsi="Arial"/>
          <w:sz w:val="17"/>
          <w:szCs w:val="17"/>
          <w:color w:val="auto"/>
        </w:rPr>
        <w:t>conduct a clinical trial that compares the cost-effectiveness of our product candidate to other available therapies. If reimbursement for our products is unavailable or limited in scope or amount, or if pricing is set at unsatisfactory levels, our business could be harmed, possibly materially.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3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discovery, preclinical development or production efforts. Our failure to comply with these laws and regulations also may result in substantial fines, penalties or other sanctions.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like chemotherapy and radiation therapy are well established in the medical community, and doctors may continue to rely on these treatments to the exclusion of our product candidates. In addition, physicians, patients and third-party payors may prefer other novel products to ours.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5"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and potential advantages and disadvantages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availability of third-party coverage and adequate reimbursement, including patient cost-sharing programs such as copays and deductibles;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or partner with third-party collaborators to develop companion diagnostics;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if they obtain regulatory approval, we may not be able to effectively sell or market our product candidates, if approved, or generate product revenues.</w:t>
      </w:r>
    </w:p>
    <w:p>
      <w:pPr>
        <w:spacing w:after="0" w:line="73"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intend to establish an internal sales or marketing team with technical expertise and supporting distribution capabilities to commercialize our product candidates, which will be expensive and time consuming and will require significant attention of our executive officers to manage. Any failure or delay in the development of our internal sales, marketing and distribution capabilities would adversely impact the commercialization of any of our products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Specifically, there are a large number of companies developing or marketing treatments for cancer, including many major pharmaceutical and biotechnology companies, which may directly compete with tipifarnib, KO-947 and any other future product candidates.</w:t>
      </w:r>
    </w:p>
    <w:p>
      <w:pPr>
        <w:spacing w:after="0" w:line="1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and or slow our regulatory approval. In addition, our ability to compete may be affected in many cases by insurers or other third-party payors seeking to encourage the use of generic products. Generic products are currently on the market for the indications that we are pursuing, and additional products are expected to become available on a generic basis over the coming years. If our product candidates achieve marketing approval, we expect that they will be priced at a significant premium over competitive generic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jc w:val="both"/>
        <w:ind w:firstLine="518"/>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coverage and adequate reimbursement for new or current products could limit our ability to market those products and decrease our ability to generate revenue.</w:t>
      </w:r>
    </w:p>
    <w:p>
      <w:pPr>
        <w:spacing w:after="0" w:line="16"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availability and extent of coverage and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65"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an agency within the U.S. Department of Health and Human Services, as CMS decides whether and to what extent a new medicine will be covered and reimbursed under Medicare. Private payors often, but not always, follow CMS’s decisions regarding coverage and reimbursement. It is difficult to predict what CMS will decide with respect to coverage and reimbursement for fundamentally novel products such as ours, as there is no body of established practices and precedents for these new products. One payor’s determination to provide coverage for a drug product does not assure that other payors will also provide coverage for the drug product. Further, a payor’s decision to provide coverage for a drug product does not imply that an adequate reimbursement rate will be approved.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w:t>
      </w:r>
    </w:p>
    <w:p>
      <w:pPr>
        <w:spacing w:after="0" w:line="16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Reimbursement agencies in Europe may be more conservative than CMS. For example, a number of cancer drugs have been approved for reimbursement in the United States and have not been approved for reimbursement in certain European countries.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particularly prescription drugs and surgical procedures and other treatments, has become very intense. As a result, increasingly high barriers are being erected to the entry of new products into the healthcare market.</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to CMS and private payors, professional organizations such as the National Comprehensive Cancer Network and the American Society of Clinical Oncology can influence decisions about reimbursement for new medicines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14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Our current product liability insurance coverage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7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intend to rely upon a combination of regulatory exclusivity periods, patents, trade secret protection, confidentiality agreements, and license agreements to protect the intellectual property related to our current product candidates and development programs. If the breadth or strength of protection provided by any patents, patent applications or future patents we may own, license, or pursue with respect to any of our current or future product candidates or products is threatened, it could threaten our ability to commercialize any of our current or future product candidates or products. Further, if we encounter delays in our development efforts, the period of time during which we could market any of our current or future product candidates or products under any patent protection we obtain would be reduced. Given the amount of time required for the development, testing and regulatory review of new product candidates or products, patents protecting such candidates might expire before or shortly after such product candidates or products are commercialized.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ind w:firstLine="518"/>
        <w:spacing w:after="0" w:line="268" w:lineRule="auto"/>
        <w:rPr>
          <w:sz w:val="20"/>
          <w:szCs w:val="20"/>
          <w:color w:val="auto"/>
        </w:rPr>
      </w:pPr>
      <w:r>
        <w:rPr>
          <w:rFonts w:ascii="Arial" w:cs="Arial" w:eastAsia="Arial" w:hAnsi="Arial"/>
          <w:sz w:val="17"/>
          <w:szCs w:val="17"/>
          <w:color w:val="auto"/>
        </w:rPr>
        <w:t>Our patent rights may not protect our patent protected products and product candidates if competitors devise ways of making products that compete with us without legally infringing our patent rights. For example, our patent rights in tipifarnib are limited in ways that affect our ability to exclude third parties from competing against us. In particular, the patent term for the composition of matter patents covering the active pharmaceutical ingredient, or API, of tipifarnib expire in 2016 in the United States, countries in Europe and other jurisdictions. Composition of matter patents on APIs are generally considered to be the strongest form of intellectual property protection because such patents provide protection without regard to any particular method of use or manufacture or formulation of the API used. Patent term extension may be available in the United States to account for regulatory delays in obtaining human marketing approval for tipifarnib; however, only one patent may be extended per marketed compound. Under our license agreement with Janssen, we and Janssen agree to cooperate in obtaining available patent term extensions. We and Janssen may not reach agreement and no patent term extension may be obtained. Additionally, the applicable authorities, including the U.S. Patent and Trademark Office, or U.S. PTO, and the FDA, and any equivalent regulatory authority in other countries, may not agree with our assessment of whether such extensions are available, and may refuse to grant extensions to patents, or may grant more limited extensions than requested. If this occurs, our competitors who obtain the requisite regulatory approval can offer products with the same API as tipifarnib so long as the competitors do not infringe any method of use or formulations patents that we may hold. Competitors may take advantage of our investment in development and clinical trials by referencing our clinical and preclinical data and launch their product earlier than might otherwise be the case.</w:t>
      </w:r>
    </w:p>
    <w:p>
      <w:pPr>
        <w:spacing w:after="0" w:line="18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that following expiration of composition of matter patents and any regulatory exclusivity we are able to obtain, competitors may manufacture and sell generic versions of tipifarnib, at a lower price, which would reduce tipifarnib’s revenues. In certain jurisdictions, legislation mandates generic substitution for brand name drugs.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impact our business and operations.</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have licensed patent rights from third parties for some of our development programs, including tipifarnib from Janssen and compounds in our menin-MLL program from the University of Michigan. As a licensee of third parties, we rely on these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183"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With respect to the patent portfolio for tipifarnib, which is in-licensed from Janssen, Janssen maintains rights to prosecute and maintain patents and patent applications within the portfolio as well as to assert such patents against infringers within and outside the scope of our license, and to defend such patents against claims of invalidity and unenforceability. Although we have rights to consult with Janssen on actions taken as well as back-up rights of prosecution and enforcement, rights to tipifarnib granted to another licensee, such as EB Pharma, could potentially influence Janssen’s interests in the exercise of its prosecution, maintenance and enforcement rights in a manner that may favor the interests of such other licensee as compared with us.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from third parties the commercialization rights to our product candidates, we could lose license rights that are important to our business and our operations could be materially harmed.</w:t>
      </w:r>
    </w:p>
    <w:p>
      <w:pPr>
        <w:spacing w:after="0" w:line="6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have in-licensed from Janssen the use, development and commercialization rights in oncology indications for our lead product candidate, tipifarnib. We have also in-licensed rights to potential product candidates in other programs in our pipeline. As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both"/>
        <w:spacing w:after="0" w:line="270" w:lineRule="auto"/>
        <w:rPr>
          <w:sz w:val="20"/>
          <w:szCs w:val="20"/>
          <w:color w:val="auto"/>
        </w:rPr>
      </w:pPr>
      <w:r>
        <w:rPr>
          <w:rFonts w:ascii="Arial" w:cs="Arial" w:eastAsia="Arial" w:hAnsi="Arial"/>
          <w:sz w:val="17"/>
          <w:szCs w:val="17"/>
          <w:color w:val="auto"/>
        </w:rPr>
        <w:t>result, our current business plans are dependent upon our satisfaction of certain conditions to the maintenance of the Janssen agreement and the rights we license under it and our other in-license agreements. The Janssen license agreement provides that we are subject to diligence obligations relating to the commercialization and development of tipifarnib, milestone payments, royalty payments and other obligations. If we fail to comply with any of the conditions or obligations or otherwise breach the terms of our license agreement with Janssen, or any of our other license agreements or license agreements we may enter into on which our business or product candidates are dependent, Janssen or other licensors may have the right to terminate the applicable agreement in whole or in part and thereby extinguish our rights to the licensed technology and intellectual property and/or any rights we have acquired to develop and commercialize certain product candidates, including, with respect to our license agreement with Janssen, tipifarnib. The loss of the rights licensed to us under our license agreement with Janssen, or our other license agreements or any future license agreement that we may enter granting us rights on which our business or product candidates are dependent, would eliminate our ability to further develop the applicable product candidates and would materially harm our business, prospects, financial condition and results of operations.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patent applications of pharmaceutical and biotechnology companies involve highly complex legal and factual questions, which, if determined adversely to us, could negatively impact our patent position.</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78"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 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Moreover, we may be subject to a third-party preissuance submission of prior art to the U.S. 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jc w:val="both"/>
        <w:ind w:firstLine="518"/>
        <w:spacing w:after="0" w:line="257" w:lineRule="auto"/>
        <w:rPr>
          <w:sz w:val="20"/>
          <w:szCs w:val="20"/>
          <w:color w:val="auto"/>
        </w:rPr>
      </w:pPr>
      <w:r>
        <w:rPr>
          <w:rFonts w:ascii="Arial" w:cs="Arial" w:eastAsia="Arial" w:hAnsi="Arial"/>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Even if our owned and licensed patents might provide such protection or competitive advantage, we may not have the resources to effectively enforce our rights under such patents, which can be expensive and time-consuming. Further, our competitors may be able to circumvent our owned or licensed patents by developing similar or alternative technologies or products in a non-infringing manner.</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 PTO and various governmental patent agencies outside of the United States in several stages over the lifetime of the patents and/or applications. We have systems in place to remind us to pay these fees, and we employ an outside firm and rely on our outside counsel to pay these fees due to non-U.S. patent agencies. The U.S. 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 PTO. Third parties may assert infringement claims against us based on existing patents or patents that may be granted in the future.</w:t>
      </w:r>
    </w:p>
    <w:p>
      <w:pPr>
        <w:spacing w:after="0" w:line="17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for our development pipeline through acquisitions and in-licenses.</w:t>
      </w:r>
    </w:p>
    <w:p>
      <w:pPr>
        <w:spacing w:after="0" w:line="12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Presently we have rights to intellectual property to develop tipifarnib in the field of oncology, including patents and patent applications we exclusively licensed from Janssen, as well as exclusive worldwide licenses for all therapeutic indications for certain compounds in our other programs, including in our menin-MLL program. Because our programs may involve additional product candidates that may require the use of proprietary rights held by third parties, the growth of our business may depend in part on our ability to acquire, in-license or use these proprietary rights. Additionally, a companion diagnostic may require that we or a third-party collaborator developing the diagnostic acquire proprietary rights held by third parties, which may not be available. We may be unable to acquire or in-license any compositions, methods of use, or other third-party intellectual property rights from third parties that we identify.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6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example, we may collaborate with U.S. and foreign academic institutions to accelerate our discovery and preclinical development work under written agreements with these institutions. Typically, these institutions provide us with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seek to protect our confidential proprietary information, in part, by entering into confidentiality and invention or patent assignment agreements with our employees and consultants, however, we cannot be certain that such agreements have been entered into with all relevant parties. Moreover, to the extent we enter into such agreements,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Macroeconomic Conditions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have a limited number of employees, are highly dependent on our Chief Executive Officer and our future success depends on our ability to retain key executives and to attract, retain and motivate qualified personnel.*</w:t>
      </w:r>
    </w:p>
    <w:p>
      <w:pPr>
        <w:spacing w:after="0" w:line="6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are an early-stage clinical development company with a limited operating history, and, as of March 31, 2016, we had only 25 employees. We are highly dependent on the expertise of Troy E. Wilson, Ph.D., J.D., our President and Chief Executive Officer, Antonio Gualberto, M.D., Ph.D., our Chief Medical Officer, Yi Liu, Ph.D., our Chief Scientific Officer, and Pingda Ren, Ph.D., our Senior Vice President, Chemistry and Pharmaceutical Sciences,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Additionally, Dr. Wilson currently also serves as President and Chief Executive Officer of Avidity NanoMedicines, LLC. As a result, Dr. Wilson is not able to devote all of his business time and attention to our business. Conflicts may arise in the future if there are competing demands on Dr. Wilson’s time and attention and our business may be harmed as a result.</w:t>
      </w:r>
    </w:p>
    <w:p>
      <w:pPr>
        <w:spacing w:after="0" w:line="17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discovery and preclinical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regulatory affairs and commercial, if any of our product candidates receives marketing approval, sales, marketing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7"/>
          <w:szCs w:val="17"/>
          <w:color w:val="auto"/>
        </w:rPr>
        <w:t>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our ability to raise additional capital when needed on acceptable terms, if at all. This is particularly true in Europe, which is undergoing a continued severe economic crisis.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collaborators and third-parties on whom we rely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we may incur substantial costs to attempt to recover or reproduce the data. If any disruption or security breach resulted in a loss of or damage to our data or applications, or inappropriate disclosure of confidential or proprietary information, we could incur liability and/or the further development of our product candidates could be delayed.</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natural disasters, power loss, terrorist activity and other events beyond our control, the occurrence of which could materially harm our business.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Businesses located in California have, in the past, been subject to electrical blackouts as a result of a shortage of available electrical power, and any future blackouts could disrupt our operations. We are vulnerable to a major earthquake, wildfire and other natural disasters, and we have not undertaken a systematic analysis of the potential consequences to our business as a result of any such natural disaster and do not have an applicable recovery plan in place. We do not carry any business interruption insurance that would compensate us for actual losses from interruption of our business that may occur, and any losses or damages incurred by us could cause our business to materially suffer.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fluctuate significantly and you may have difficulty selling your shares based on current trading volumes of our stock.*</w:t>
      </w:r>
    </w:p>
    <w:p>
      <w:pPr>
        <w:spacing w:after="0" w:line="12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Our common stock has been listed on the NASDAQ Global Select Market under the symbol “KURA” since November 5, 2015. From September 16, 2015 through November 4, 2015, our common stock was quoted for trading on the OTC Markets—OTCQB tier, or OTCQB, in very limited volume under the symbol “KURO.” Prior to September 16, 2015, our common stock was not publicly-traded. The high and low price per share of our common stock as reported by NASDAQ during the period from November 5, 2015 until March 31, 2016, were $9.06 and $3.22, respectively. The high and low bid quotations per share of our common stock as reported by the OTCQB during the period from September 16, 2015 through November 4, 2015 were $25.00 and $10.00, respectively. We cannot predict the extent to which investor interest in our company will sustain an active trading market on the NASDAQ Global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Select Market or any other exchange in the future. We have several stockholders, including affiliated stockholders, who hold substantial blocks of our stock. Sales of large numbers of shares by any of our large stockholders could adversely affect our trading price, particularly given our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an active trading market is not sustained or if the volume of trading is limited, holders of our common stock may have difficulty selling their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may be influenced by numerous factors, some of which are beyond our control.*</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market for our common stock could fluctuate substantially due to a variety of factors, some of which may be beyond our control. In addition to the factors discussed in this “Risk Factors” section and elsewhere in this report, these factors include:</w:t>
      </w:r>
    </w:p>
    <w:p>
      <w:pPr>
        <w:spacing w:after="0" w:line="62"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product candidates we seek to pursue, and our ability to obtain rights to develop, commercialize and market those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adverse results or delays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 candidates, including without limitation clinical trial requirements for approvals;</w:t>
      </w:r>
    </w:p>
    <w:p>
      <w:pPr>
        <w:spacing w:after="0" w:line="12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and other proprietary rights and our ability to obtain patent protection for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dependence on third parties, including CROs as well as our potential partners that produce companion diagnostic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to meet or exceed any financial guidance or expectations regarding development milestones that we may provide to the public;</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 liquidity or other indicators of our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performance of the equity markets and other factors that may be unrelated to our operating performance or the operating performance of our competitors, including changes in market valuations of similar companies;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or trends in the biotechnology and biopharmaceutical industries;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of new products offered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manage such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or the perception that such sales could occur;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ineffectiveness of our internal control over financial reporting or disclosure controls and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political and economic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effects of natural or man-made catastrophic events;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the stock market in general, and the stocks of small-cap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These events may also lead to securities litigation, which can be expensive and time-consuming to defend, regardless of the merit or outcome. The realization of any of the above risks or any of a broad range of other risks, including those described in these “Risk Factors,” could have a dramatic and material adverse impact on the market price of our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our cash and may not use our cash effectively, which could adversely affect our results of operations.</w:t>
      </w:r>
    </w:p>
    <w:p>
      <w:pPr>
        <w:spacing w:after="0" w:line="129"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management has broad discretion in the application of our cash resources. Because of the number and variability of factors that will determine our use of our cash resources, our management might not apply our cash in ways that ultimately increase the value of our common stock. The failure by our management to apply our cash effectively could harm our business. Pending their use, we may invest our cash in short-term, investment-grade, interest-bearing securities. These investments may not yield a favorable return to our stockholders. If we do not invest or apply our cash in ways that enhance stockholder value, we may fail to achieve expected financial results, which could cause our stock price to decline.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continue to attract the attention of research analysts at major brokerage firms.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Because we did not become a reporting company by conducting an underwritten initial public offering of our common stock, security analysts of brokerage firms may not continue to provide coverage of our company. In addition, investment banks may be less likely to agree to underwrite secondary offerings on our behalf than they might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will have an adverse effect on our ability to develop a liquid market for our common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resale of shares covered by our effective shelf registration statement could adversely affect the market price of our common stock in the public market, should one develop, which result would in turn negatively affect our ability to raise additional equity capital.*</w:t>
      </w:r>
    </w:p>
    <w:p>
      <w:pPr>
        <w:spacing w:after="0" w:line="3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 registration statement with the SEC, which was declared effective on July 21, 2015, and subsequently filed a post-effective amendment to such registration statement with the SEC, which was declared effective on April 14, 2016, to register the resale of 13,947,599 shares of our common stock, which represents a substantial portion of the shares of our common stock issued in connection with the Merger. The shelf registration statement permits the resale of these shares at any time, subject to restrictions under applicable law.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are a large number of shares registered pursuant to the shelf registration statement, the selling stockholders named in such registration statement will continue to offer shares covered by the shelf registration statement for a significant period of time, the precise duration of which cannot be predicted. Accordingly, the adverse market and price pressures resulting from an offering pursuant to the shelf registration statement may continue for an extended period of time and continued negative pressure on the market price of our common stock could have a material adverse effect on our ability to raise additional equity capital.</w:t>
      </w: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associated with, and our management will need to devote substantial time and effort to, compliance with public company reporting and other requirements.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a public company, and particularly if and after we cease to be an “emerging growth company” or a “smaller reporting company,” we will incur significant legal, accounting and other expenses that we did not incur as a private company. In addition, the rules and regulations of the SEC and NASDAQ impose numerous requirements on public companies, including requirements relating to our corporate governance practices, with which we will need to comply. Further, we are required to, among other things, file annual, quarterly and current reports with respect to our business and operating results. Our management and other personnel will need to devote substantial time to gaining expertise regarding operations as a public company and compliance with applicable laws and regulations, and our efforts and initiatives to comply with those requirements could be expensive.</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Prior Kura was not subject to requirements to establish, and did not establish, internal control over financial reporting and disclosure controls and procedures prior to the Merger. 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6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are required to comply with certain aspects of the Sarbanes-Oxley Act of 2002, or Sarbanes-Oxley Act. Section 404 of the Sarbanes-Oxley Act requires public companies to conduct an annual review and evaluation of their internal controls and attestations of the effectiveness of internal controls by independent auditors. Ensuring that we have adequate internal financial and accounting controls and procedures in place so that we can produce accurate financial statements on a timely basis is a costly and time-consuming effort that will need to be evaluated frequently. Our failure to maintain the effectiveness of our internal controls in accordance with the requirements of the Sarbanes-Oxley Act could have a material adverse effect on our business. We could lose investor confidence in the accuracy and completeness of our financial reports, which could have an adverse effect on the price of our common stock. In addition, if our efforts to comply with new or changed laws, regulations, and standards differ from the activities intended by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regulatory or governing bodies due to ambiguities related to practice, regulatory authorities may initiate legal proceedings against us and our business may be harmed.</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which will allow us to take advantage of certain reduced disclosure obligations as a public reporting company that may make our common stock less attractive to investors.</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We are an “emerging growth company” under the JOBS Act and a “smaller reporting company” as defined in applicable rules under the Exchange Act. As an emerging growth company and a smaller reporting company, we are eligible to take advantage of certain extended accounting standards and exemptions from various reporting requirements that are not available to public reporting companies that do not qualify for those classifications. For instance, we are exempt from any requirement that may be adopted by the Public Company Accounting Oversight Board regarding mandatory audit firm rotation or a supplement to the auditor’s report providing additional information about the audit and financial statements, commonly known as an “auditor discussion and analysis”; we are not required to hold a nonbinding advisory stockholder vote on executive compensation or any golden parachute payments not previously approved by stockholders; we are not required to comply with the requirement of auditor attestation of management’s assessment of internal control over financial reporting, which is required for some other public reporting companies by Section 404 of the Sarbanes-Oxley Act; we are eligible for reduced disclosure obligations regarding executive compensation in our periodic and annual reports; and we are eligible for reduced financial statement disclosure in any registration statements under the Securities Act or reports under the Exchange Act that we may file. For as long as we continue to be an emerging growth company and/or a smaller reporting company, which we anticipate will be for the foreseeable future, we expect that we will take advantage of the reduced disclosure obligations available to us as a result of those respective classifications. As a result, our publicly available disclosure may not be as robust or comprehensive as that of other public reporting companies that do not qualify for those classifications.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Management and our board of directors beneficially own a significant amount of our outstanding equity securities and will be able to exert substantial control over us.</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executive officers and directors beneficially own a significant percentage of our outstanding equity securities. Accordingly, if they act as a group, our executive officers and directors will be able to significantly influence all business decisions, including with respect to such matters as amendments to our charter, other fundamental corporate transactions such as mergers, asset sales and the sale of us, and otherwise will be able to significantly influence our business and affairs.</w:t>
      </w:r>
    </w:p>
    <w:p>
      <w:pPr>
        <w:spacing w:after="0" w:line="2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outstanding stock options or otherwise, could result in dilution to the percentage ownership of our stockholders and could cause our stock price to fall.*</w:t>
      </w:r>
    </w:p>
    <w:p>
      <w:pPr>
        <w:spacing w:after="0" w:line="1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To raise capital, we may sell common stock, convertible securities or other equity securities in one or more transactions at prices and in a manner we determine from time to time. If we sell common stock, convertible securities or other equity securities in more than one transaction, investors in a prior transaction may be materially diluted by subsequent sales. Additionally, any such sales may result in material dilution to our existing stockholders, and new investors could gain rights, preferences and privileges senior to those of holders of our common stock. Further, any future sales of our common stock by us or resales of our common stock by our existing stockholders or the perception that such sales could occur could cause the market price of our common stock to decline.</w:t>
      </w:r>
    </w:p>
    <w:p>
      <w:pPr>
        <w:spacing w:after="0" w:line="17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Pursuant to our Amended and Restated 2014 Equity Incentive Plan, or 2014 Plan, we are authorized to grant equity awards consisting of shares of our common stock to our employees, directors and consultants. As of March 31, 2016, we had 714,131 shares of common stock reserved for future issuance under our 2014 Plan and options to purchase up to an aggregate of 1,193,275 shares of common stock outstanding. The number of shares available for future grant under our 2014 Plan will automatically increase on January 1 of each year by 4% of the total number of shares of our common stock outstanding on December 31 of the preceding calendar year, subject to the ability of our board of directors to take action to reduce the size of the increase in any given year. On January 1, 2016, the initial automatic increase pursuant to the 2014 Plan occurred, resulting in 854,822 additional shares available for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17"/>
          <w:szCs w:val="17"/>
          <w:color w:val="auto"/>
        </w:rPr>
        <w:t>future grant under the 2014 Plan. In addition, we may grant or provide for the grant of rights to purchase shares of our common stock pursuant to our 2015 Employee Stock Purchase Plan, or ESPP. As of March 31, 2016, we had 238,705 shares of common stock reserved for future issuance under our ESPP. The number of shares of our common stock reserved for issuance under the ESPP will automatically increase on January 1 of each calendar year by the lesser of 1% of the total number of shares of our common stock outstanding on December 31 of the preceding calendar year and 2,000,000 shares, subject to the ability of our board of directors to take action to reduce the size of the increase in any given year. On January 1, 2016, the initial automatic increase pursuant to the ESPP occurred, resulting in 213,705 additional shares available for future grant under the ESPP. Any future grants of options, warrants or other securities exercisable or convertible into our common stock, or the exercise or conversion of such shares, and any sales of such shares in the market, could have an adverse effect on the market price of our common stock.</w:t>
      </w:r>
    </w:p>
    <w:p>
      <w:pPr>
        <w:spacing w:after="0" w:line="2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38" w:lineRule="exact"/>
        <w:rPr>
          <w:sz w:val="20"/>
          <w:szCs w:val="20"/>
          <w:color w:val="auto"/>
        </w:rPr>
      </w:pPr>
    </w:p>
    <w:p>
      <w:pPr>
        <w:ind w:left="10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of approval of not less than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tax loss carryforwards and certain other tax attributes may be limited.</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to offset its post-change income may be limited. As a result of our March 2015 private placement and November 2015 public offering, and other transactions that have occurred over the past three years, we may have triggered an “ownership change” limitation. In addition, we may experience ownership changes in the future as a result of subsequent shifts in our stock ownership. As a result, if we earn net taxable income, our ability to use our pre-change net operating loss carryforwards and other pre-change tax attributes to offset U.S. federal and state taxable income may be subject to limitations, which could potentially result in increased future tax liability to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do not intend to pay cash dividends on our capital stock in the foreseeable future.*</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have never declared or paid any dividends on our common stock and do not anticipate paying any dividends in the foreseeable future. Any payment of cash dividends in the future would depend on our financial condition, contractual restrictions, including under our term loan facility, solvency tests imposed by applicable corporate laws, results of operations, anticipated cash requirements and other factors and will be at the discretion of our board of directors. Our stockholders should not expect that we will ever pay cash or other dividends on our outstanding capital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the Exhibit Index immediately following the signature page of this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Kura Oncology, Inc.</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 Delaware corporation</w:t>
            </w:r>
          </w:p>
        </w:tc>
      </w:tr>
      <w:tr>
        <w:trPr>
          <w:trHeight w:val="459"/>
        </w:trPr>
        <w:tc>
          <w:tcPr>
            <w:tcW w:w="6860" w:type="dxa"/>
            <w:vAlign w:val="bottom"/>
          </w:tcPr>
          <w:p>
            <w:pPr>
              <w:spacing w:after="0"/>
              <w:rPr>
                <w:sz w:val="20"/>
                <w:szCs w:val="20"/>
                <w:color w:val="auto"/>
              </w:rPr>
            </w:pPr>
            <w:r>
              <w:rPr>
                <w:rFonts w:ascii="Arial" w:cs="Arial" w:eastAsia="Arial" w:hAnsi="Arial"/>
                <w:sz w:val="18"/>
                <w:szCs w:val="18"/>
                <w:color w:val="auto"/>
              </w:rPr>
              <w:t>Date: May 11,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Troy E. Wilson, Ph.D., J.D.</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Troy E. Wilson, Ph.D., J.D.</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9"/>
        </w:trPr>
        <w:tc>
          <w:tcPr>
            <w:tcW w:w="6860" w:type="dxa"/>
            <w:vAlign w:val="bottom"/>
          </w:tcPr>
          <w:p>
            <w:pPr>
              <w:spacing w:after="0"/>
              <w:rPr>
                <w:sz w:val="20"/>
                <w:szCs w:val="20"/>
                <w:color w:val="auto"/>
              </w:rPr>
            </w:pPr>
            <w:r>
              <w:rPr>
                <w:rFonts w:ascii="Arial" w:cs="Arial" w:eastAsia="Arial" w:hAnsi="Arial"/>
                <w:sz w:val="18"/>
                <w:szCs w:val="18"/>
                <w:color w:val="auto"/>
              </w:rPr>
              <w:t>Date: May 11,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Heidi Henson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Heidi Henson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auto"/>
        </w:rPr>
        <w:t>INDEX TO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Incorporated by</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Filed</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SEC File/Reg.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18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60" w:type="dxa"/>
            <w:vAlign w:val="bottom"/>
            <w:vMerge w:val="restart"/>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6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2.1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March 6, 2015, by and among the</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3/12/2015</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Registrant, Kura Operations, Inc. and Kura Oncology, Inc.</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2.1)</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2.2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5"/>
              </w:rPr>
              <w:t>Agreement and Plan of Merger, dated March 6, 2015, by and between</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3/12/2015</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4"/>
              </w:rPr>
              <w:t>the Registrant and Kura Oncology, Inc., relating to the name change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2.2)</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the Registrant.</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3.1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7"/>
              </w:rPr>
              <w:t>Amended and Restated Certificate of Incorporation of the Registrant.</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4/17/2015</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333-203503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3.1)</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3.2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9"/>
              </w:rPr>
              <w:t>Certificate of Merger relating to the Merger of Kura Operations, Inc.</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3/12/2015</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7"/>
              </w:rPr>
              <w:t>with and into Kura Oncology, Inc., filed with the Secretary of State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3.3)</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the State of Delaware on March 6, 2015.</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3.3</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Certificate of Ownership and Merger relating to the merger of Kura</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3/12/2015</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6"/>
              </w:rPr>
              <w:t>Oncology, Inc. with and into the Registrant, filed with the Secretary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3.4)</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5"/>
              </w:rPr>
              <w:t>State of the State of Delaware on March 6, 2015, relating to the name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change of the Registrant.</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3.4</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the Registrant.</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3/12/2015</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3.5)</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4.1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Form of Common Stock certificate.</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3/12/2015</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4.1)</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4.2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Registration Rights Agreement, dated as of March 6, 2015, by and</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3/12/2015</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among Kura Oncology, Inc. and the Investors listed on Schedule A</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4.2)</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thereto.</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3"/>
              </w:rPr>
              <w:t>Amended and Restated Executive Employment Agreement, effective as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3/17/2016</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of January 29, 2016, by and between the Registrant and Troy E. Wilson,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(Exhibit 10.15)</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Ph.D., J.D.</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3"/>
              </w:rPr>
              <w:t>Amended and Restated Executive Employment Agreement, effective as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3/17/2016</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of January 29, 2016, by and between the Registrant and Antonio</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(Exhibit 10.16)</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Gualberto, M.D., Ph.D.</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10.3+</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3"/>
              </w:rPr>
              <w:t>Amended and Restated Executive Employment Agreement, effective as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3/17/2016</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3"/>
              </w:rPr>
              <w:t>of January 29, 2016, by and between the Registrant and Annette North.</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(Exhibit 10.17)</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31.1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7"/>
              </w:rPr>
              <w:t>Certification of Principal Executive Officer pursuant to Section 302 of</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452"/>
              <w:spacing w:after="0"/>
              <w:rPr>
                <w:sz w:val="20"/>
                <w:szCs w:val="20"/>
                <w:color w:val="auto"/>
              </w:rPr>
            </w:pPr>
            <w:r>
              <w:rPr>
                <w:rFonts w:ascii="Arial" w:cs="Arial" w:eastAsia="Arial" w:hAnsi="Arial"/>
                <w:sz w:val="18"/>
                <w:szCs w:val="18"/>
                <w:color w:val="auto"/>
              </w:rPr>
              <w:t>31.2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8"/>
              </w:rPr>
              <w:t>Certification of Principal Financial Officer pursuant to Section 302 of</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960" w:type="dxa"/>
            <w:vAlign w:val="bottom"/>
          </w:tcPr>
          <w:p>
            <w:pPr>
              <w:spacing w:after="0"/>
              <w:rPr>
                <w:sz w:val="24"/>
                <w:szCs w:val="24"/>
                <w:color w:val="auto"/>
              </w:rPr>
            </w:pPr>
          </w:p>
        </w:tc>
        <w:tc>
          <w:tcPr>
            <w:tcW w:w="5340" w:type="dxa"/>
            <w:vAlign w:val="bottom"/>
            <w:gridSpan w:val="2"/>
          </w:tcPr>
          <w:p>
            <w:pPr>
              <w:ind w:left="466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Incorporated by</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Filed</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SEC File/Reg.</w:t>
            </w: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18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160" w:type="dxa"/>
            <w:vAlign w:val="bottom"/>
            <w:vMerge w:val="restart"/>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6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17"/>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Certifications of Principal Executive Officer and Principal Financial</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5"/>
              </w:rPr>
              <w:t>Officer pursuant to Section 906 of the Sarbanes-Oxley Act of 2002, 18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U.S.C. 1350</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Presentation Linkbase Document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Troy E. Wilson, Ph.D., J.D.,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Form 10-Q of Kura Oncology,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Troy E. Wilson, Ph.D., J.D.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Troy E. Wilson,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Heidi Henson, certify that:</w:t>
      </w:r>
    </w:p>
    <w:p>
      <w:pPr>
        <w:spacing w:after="0" w:line="117"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10-Q of Kura Oncology,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Heidi Henson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Heidi 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Secretary</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connection with the Quarterly Report on Form 10-Q of Kura Oncology, Inc. (the “Company”) for the period ended March 31, 2016, as filed with the Securities and Exchange Commission on the date hereof (the “Report”), Troy E. Wilson, Ph.D., J.D., as President and Chief Executive Officer of the Company, and Heidi Henson, as Chief Financial Officer and Secretary of the Company, each hereby certifies, pursuant to 18 U.S.C. Section 1350, as adopted pursuant to Section 906 of the Sarbanes-Oxley Act of 2002, that to the best of his or her knowledge:</w:t>
      </w:r>
    </w:p>
    <w:p>
      <w:pPr>
        <w:spacing w:after="0" w:line="7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40" w:type="dxa"/>
            <w:vAlign w:val="bottom"/>
            <w:gridSpan w:val="2"/>
          </w:tcPr>
          <w:p>
            <w:pPr>
              <w:jc w:val="center"/>
              <w:ind w:right="2300"/>
              <w:spacing w:after="0"/>
              <w:rPr>
                <w:sz w:val="20"/>
                <w:szCs w:val="20"/>
                <w:color w:val="auto"/>
              </w:rPr>
            </w:pPr>
            <w:r>
              <w:rPr>
                <w:rFonts w:ascii="Arial" w:cs="Arial" w:eastAsia="Arial" w:hAnsi="Arial"/>
                <w:sz w:val="18"/>
                <w:szCs w:val="18"/>
                <w:color w:val="auto"/>
                <w:w w:val="91"/>
              </w:rPr>
              <w:t>/s/ Troy E. Wilson, Ph.D., J.D.</w:t>
            </w: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/s/ Heidi Henson</w:t>
            </w:r>
          </w:p>
        </w:tc>
      </w:tr>
      <w:tr>
        <w:trPr>
          <w:trHeight w:val="119"/>
        </w:trPr>
        <w:tc>
          <w:tcPr>
            <w:tcW w:w="20" w:type="dxa"/>
            <w:vAlign w:val="bottom"/>
          </w:tcPr>
          <w:p>
            <w:pPr>
              <w:spacing w:after="0"/>
              <w:rPr>
                <w:sz w:val="10"/>
                <w:szCs w:val="10"/>
                <w:color w:val="auto"/>
              </w:rPr>
            </w:pPr>
          </w:p>
        </w:tc>
        <w:tc>
          <w:tcPr>
            <w:tcW w:w="4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Troy E. Wilson, Ph.D., J.D.</w:t>
            </w:r>
          </w:p>
        </w:tc>
        <w:tc>
          <w:tcPr>
            <w:tcW w:w="2280" w:type="dxa"/>
            <w:vAlign w:val="bottom"/>
          </w:tcPr>
          <w:p>
            <w:pPr>
              <w:spacing w:after="0"/>
              <w:rPr>
                <w:sz w:val="10"/>
                <w:szCs w:val="10"/>
                <w:color w:val="auto"/>
              </w:rPr>
            </w:pPr>
          </w:p>
        </w:tc>
        <w:tc>
          <w:tcPr>
            <w:tcW w:w="4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Heidi Henson</w:t>
            </w:r>
          </w:p>
        </w:tc>
      </w:tr>
      <w:tr>
        <w:trPr>
          <w:trHeight w:val="186"/>
        </w:trPr>
        <w:tc>
          <w:tcPr>
            <w:tcW w:w="20" w:type="dxa"/>
            <w:vAlign w:val="bottom"/>
          </w:tcPr>
          <w:p>
            <w:pPr>
              <w:spacing w:after="0"/>
              <w:rPr>
                <w:sz w:val="16"/>
                <w:szCs w:val="16"/>
                <w:color w:val="auto"/>
              </w:rPr>
            </w:pPr>
          </w:p>
        </w:tc>
        <w:tc>
          <w:tcPr>
            <w:tcW w:w="6840" w:type="dxa"/>
            <w:vAlign w:val="bottom"/>
            <w:gridSpan w:val="2"/>
          </w:tcPr>
          <w:p>
            <w:pPr>
              <w:jc w:val="center"/>
              <w:ind w:right="2300"/>
              <w:spacing w:after="0"/>
              <w:rPr>
                <w:sz w:val="20"/>
                <w:szCs w:val="20"/>
                <w:color w:val="auto"/>
              </w:rPr>
            </w:pPr>
            <w:r>
              <w:rPr>
                <w:rFonts w:ascii="Arial" w:cs="Arial" w:eastAsia="Arial" w:hAnsi="Arial"/>
                <w:sz w:val="14"/>
                <w:szCs w:val="14"/>
                <w:b w:val="1"/>
                <w:bCs w:val="1"/>
                <w:color w:val="auto"/>
                <w:w w:val="93"/>
              </w:rPr>
              <w:t>President and Chief Executive Officer</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4"/>
              </w:rPr>
              <w:t>Chief Financial Officer and Secretary</w:t>
            </w:r>
          </w:p>
        </w:tc>
      </w:tr>
      <w:tr>
        <w:trPr>
          <w:trHeight w:val="458"/>
        </w:trPr>
        <w:tc>
          <w:tcPr>
            <w:tcW w:w="6860" w:type="dxa"/>
            <w:vAlign w:val="bottom"/>
            <w:gridSpan w:val="3"/>
          </w:tcPr>
          <w:p>
            <w:pPr>
              <w:spacing w:after="0"/>
              <w:rPr>
                <w:sz w:val="20"/>
                <w:szCs w:val="20"/>
                <w:color w:val="auto"/>
              </w:rPr>
            </w:pPr>
            <w:r>
              <w:rPr>
                <w:rFonts w:ascii="Arial" w:cs="Arial" w:eastAsia="Arial" w:hAnsi="Arial"/>
                <w:sz w:val="18"/>
                <w:szCs w:val="18"/>
                <w:color w:val="auto"/>
              </w:rPr>
              <w:t>Date: May 11, 2016</w:t>
            </w:r>
          </w:p>
        </w:tc>
        <w:tc>
          <w:tcPr>
            <w:tcW w:w="4560" w:type="dxa"/>
            <w:vAlign w:val="bottom"/>
          </w:tcPr>
          <w:p>
            <w:pPr>
              <w:spacing w:after="0"/>
              <w:rPr>
                <w:sz w:val="20"/>
                <w:szCs w:val="20"/>
                <w:color w:val="auto"/>
              </w:rPr>
            </w:pPr>
            <w:r>
              <w:rPr>
                <w:rFonts w:ascii="Arial" w:cs="Arial" w:eastAsia="Arial" w:hAnsi="Arial"/>
                <w:sz w:val="18"/>
                <w:szCs w:val="18"/>
                <w:color w:val="auto"/>
              </w:rPr>
              <w:t>Date: May 11, 2016</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2019-12-29T12:06:23Z</dcterms:created>
  <dcterms:modified xsi:type="dcterms:W3CDTF">2019-12-29T12:06:23Z</dcterms:modified>
</cp:coreProperties>
</file>