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TROY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KURA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4930 DIRECTORS PLACE,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Kura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8"/>
        <w:gridCol w:w="917"/>
        <w:gridCol w:w="787"/>
        <w:gridCol w:w="608"/>
        <w:gridCol w:w="341"/>
        <w:gridCol w:w="1007"/>
        <w:gridCol w:w="425"/>
        <w:gridCol w:w="796"/>
        <w:gridCol w:w="1120"/>
        <w:gridCol w:w="968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379,194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One Fish Two Fish Revocable Trust</w:t>
            </w:r>
          </w:p>
        </w:tc>
      </w:tr>
      <w:tr>
        <w:trPr/>
        <w:tc>
          <w:tcPr>
            <w:tcW w:w="20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Lorax Charitable Remainder Unitrust</w:t>
            </w:r>
          </w:p>
        </w:tc>
      </w:tr>
      <w:tr>
        <w:trPr/>
        <w:tc>
          <w:tcPr>
            <w:tcW w:w="20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435,456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$10.87 to $11.31.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Teresa Bair, Attorney-in-fact for Troy E.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597" TargetMode="External"/><Relationship Id="rId5" Type="http://schemas.openxmlformats.org/officeDocument/2006/relationships/hyperlink" Target="http://www.sec.gov/cgi-bin/browse-edgar?action=getcompany&amp;CIK=0001422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3539</Characters>
  <CharactersWithSpaces>4117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