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FORD KATHLEEN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KURA ONCOLOGY,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4930 DIRECTORS PLACE,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Kura Oncology, Inc.</w:t>
              </w:r>
            </w:hyperlink>
            <w:r>
              <w:rPr/>
              <w:t xml:space="preserve"> [ </w:t>
            </w:r>
            <w:r>
              <w:rPr>
                <w:rFonts w:ascii="Times;serif" w:hAnsi="Times;serif"/>
                <w:color w:val="0000FF"/>
                <w:sz w:val="24"/>
                <w:shd w:fill="FFFFFF" w:val="clear"/>
              </w:rPr>
              <w:t>KURA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6,906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10.4973</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146,654</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09/29/2026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3,668</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10.7516</w:t>
            </w:r>
            <w:r>
              <w:rPr>
                <w:rFonts w:ascii="Times;serif" w:hAnsi="Times;serif"/>
                <w:color w:val="008000"/>
                <w:position w:val="7"/>
                <w:sz w:val="16"/>
                <w:sz w:val="20"/>
                <w:shd w:fill="FFFFFF" w:val="clear"/>
              </w:rPr>
              <w:t>(3)</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142,986</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Sell-to-cover for taxes associated with the vesting of 1/6th of the underlying shares of performance-based restricted stock units ("PSUs") granted to the Reporting Person on May 31, 2023. Each PSU represents the contingent right to receive one share of the Issuer's common stock based on the achievement of each of three specified development milestones, and the one-year anniversary of each milestone achievement, subject to the Reporting Person's continuous service on each corresponding vesting date. The one-year anniversary of the specified development milestone was determined to be met on September 27, 2026, resulting in the vesting of 1/6th of the underlying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sold were acquired by the Reporting Person upon vesting of performance restricted stock units on September 27, 2026. The sales reported herein were effected pursuant to a Rule 10b5-1 trading plan adopted by the Reporting Person on May 29,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at prices ranging from $10.57 to $10.87.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Teresa Bair Attorney-in-fact for Kathleen Ford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09/29/2026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5406" TargetMode="External"/><Relationship Id="rId5" Type="http://schemas.openxmlformats.org/officeDocument/2006/relationships/hyperlink" Target="http://www.sec.gov/cgi-bin/browse-edgar?action=getcompany&amp;CIK=000142214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786</Words>
  <Characters>4277</Characters>
  <CharactersWithSpaces>4985</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