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TROY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KURA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4930 DIRECTORS PLACE,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Kura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8"/>
        <w:gridCol w:w="917"/>
        <w:gridCol w:w="787"/>
        <w:gridCol w:w="608"/>
        <w:gridCol w:w="341"/>
        <w:gridCol w:w="1007"/>
        <w:gridCol w:w="425"/>
        <w:gridCol w:w="796"/>
        <w:gridCol w:w="1120"/>
        <w:gridCol w:w="968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479,194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One Fish Two Fish Revocable Trust</w:t>
            </w:r>
          </w:p>
        </w:tc>
      </w:tr>
      <w:tr>
        <w:trPr/>
        <w:tc>
          <w:tcPr>
            <w:tcW w:w="20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Lorax Charitable Remainder Unitrust</w:t>
            </w:r>
          </w:p>
        </w:tc>
      </w:tr>
      <w:tr>
        <w:trPr/>
        <w:tc>
          <w:tcPr>
            <w:tcW w:w="20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435,456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$11.47 to $12.85.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Teresa Bair, Attorney-in-fact for Troy E.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9597" TargetMode="External"/><Relationship Id="rId5" Type="http://schemas.openxmlformats.org/officeDocument/2006/relationships/hyperlink" Target="http://www.sec.gov/cgi-bin/browse-edgar?action=getcompany&amp;CIK=0001422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3539</Characters>
  <CharactersWithSpaces>4117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