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3075d8k.htm"/>
      <w:bookmarkStart w:id="1" w:name="ksd5307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24,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KURA ONCOLOGY,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001-37620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61-1547851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4805"/>
        <w:gridCol w:w="60"/>
        <w:gridCol w:w="1145"/>
      </w:tblGrid>
      <w:tr>
        <w:trPr/>
        <w:tc>
          <w:tcPr>
            <w:tcW w:w="4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805" w:type="dxa"/>
            <w:tcBorders/>
            <w:vAlign w:val="center"/>
          </w:tcPr>
          <w:p>
            <w:pPr>
              <w:pStyle w:val="TableContents"/>
              <w:bidi w:val="0"/>
              <w:spacing w:before="0" w:after="283"/>
              <w:jc w:val="center"/>
              <w:rPr>
                <w:b/>
              </w:rPr>
            </w:pPr>
            <w:r>
              <w:rPr>
                <w:b/>
              </w:rPr>
              <w:t>4930 Directors Place, Suite 500, San Diego, CA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92121</w:t>
            </w:r>
          </w:p>
        </w:tc>
      </w:tr>
      <w:tr>
        <w:trPr/>
        <w:tc>
          <w:tcPr>
            <w:tcW w:w="480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(858) 500-8800</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4265"/>
        <w:gridCol w:w="60"/>
        <w:gridCol w:w="740"/>
        <w:gridCol w:w="60"/>
        <w:gridCol w:w="32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KURA</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b/>
          <w:sz w:val="20"/>
        </w:rPr>
      </w:pPr>
      <w:r>
        <w:rPr>
          <w:rFonts w:ascii="Times New Roman" w:hAnsi="Times New Roman"/>
          <w:b/>
          <w:sz w:val="20"/>
        </w:rPr>
        <w:t xml:space="preserve">(e) </w:t>
      </w:r>
    </w:p>
    <w:p>
      <w:pPr>
        <w:pStyle w:val="TextBody"/>
        <w:bidi w:val="0"/>
        <w:spacing w:before="120" w:after="0"/>
        <w:jc w:val="left"/>
        <w:rPr>
          <w:rFonts w:ascii="Times New Roman" w:hAnsi="Times New Roman"/>
          <w:sz w:val="20"/>
        </w:rPr>
      </w:pPr>
      <w:r>
        <w:rPr>
          <w:rFonts w:ascii="Times New Roman" w:hAnsi="Times New Roman"/>
          <w:sz w:val="20"/>
        </w:rPr>
        <w:t>On July 24, 2026, Kura Oncology, Inc. (the “</w:t>
      </w:r>
      <w:r>
        <w:rPr>
          <w:rFonts w:ascii="Times New Roman" w:hAnsi="Times New Roman"/>
          <w:b/>
          <w:i/>
          <w:sz w:val="20"/>
        </w:rPr>
        <w:t>Company</w:t>
      </w:r>
      <w:r>
        <w:rPr>
          <w:rFonts w:ascii="Times New Roman" w:hAnsi="Times New Roman"/>
          <w:sz w:val="20"/>
        </w:rPr>
        <w:t>”) entered into a Second Amended and Restated Executive Employment Agreement with Troy E. Wilson, Ph.D., J.D., the Company’s Chairman, President and Chief Executive Officer (the “</w:t>
      </w:r>
      <w:r>
        <w:rPr>
          <w:rFonts w:ascii="Times New Roman" w:hAnsi="Times New Roman"/>
          <w:b/>
          <w:i/>
          <w:sz w:val="20"/>
        </w:rPr>
        <w:t>Wilson Agreement</w:t>
      </w:r>
      <w:r>
        <w:rPr>
          <w:rFonts w:ascii="Times New Roman" w:hAnsi="Times New Roman"/>
          <w:sz w:val="20"/>
        </w:rPr>
        <w:t xml:space="preserve">”) to, among other things, modify certain severance provisions. </w:t>
      </w:r>
    </w:p>
    <w:p>
      <w:pPr>
        <w:pStyle w:val="TextBody"/>
        <w:bidi w:val="0"/>
        <w:spacing w:before="240" w:after="0"/>
        <w:jc w:val="left"/>
        <w:rPr>
          <w:rFonts w:ascii="Times New Roman" w:hAnsi="Times New Roman"/>
          <w:sz w:val="20"/>
        </w:rPr>
      </w:pPr>
      <w:r>
        <w:rPr>
          <w:rFonts w:ascii="Times New Roman" w:hAnsi="Times New Roman"/>
          <w:sz w:val="20"/>
        </w:rPr>
        <w:t>On July 27, 2026, the Company entered into (i) an Amended and Restated Executive Employment Agreement with Brian Powl, the Company’s Chief Commercial Officer (the “</w:t>
      </w:r>
      <w:r>
        <w:rPr>
          <w:rFonts w:ascii="Times New Roman" w:hAnsi="Times New Roman"/>
          <w:b/>
          <w:i/>
          <w:sz w:val="20"/>
        </w:rPr>
        <w:t>Powl Agreement</w:t>
      </w:r>
      <w:r>
        <w:rPr>
          <w:rFonts w:ascii="Times New Roman" w:hAnsi="Times New Roman"/>
          <w:sz w:val="20"/>
        </w:rPr>
        <w:t>”) and (ii) an Amended and Restated Executive Employment Agreement with Kathleen Ford, the Company’s Chief Operating Officer (the “</w:t>
      </w:r>
      <w:r>
        <w:rPr>
          <w:rFonts w:ascii="Times New Roman" w:hAnsi="Times New Roman"/>
          <w:b/>
          <w:i/>
          <w:sz w:val="20"/>
        </w:rPr>
        <w:t>Ford Agreement</w:t>
      </w:r>
      <w:r>
        <w:rPr>
          <w:rFonts w:ascii="Times New Roman" w:hAnsi="Times New Roman"/>
          <w:sz w:val="20"/>
        </w:rPr>
        <w:t>” and together with the Wilson Agreement and Powl Agreement, the “</w:t>
      </w:r>
      <w:r>
        <w:rPr>
          <w:rFonts w:ascii="Times New Roman" w:hAnsi="Times New Roman"/>
          <w:b/>
          <w:i/>
          <w:sz w:val="20"/>
        </w:rPr>
        <w:t>A&amp;R Agreements</w:t>
      </w:r>
      <w:r>
        <w:rPr>
          <w:rFonts w:ascii="Times New Roman" w:hAnsi="Times New Roman"/>
          <w:sz w:val="20"/>
        </w:rPr>
        <w:t xml:space="preserve">”), in each case to, among other things, modify certain severance provisions. </w:t>
      </w:r>
    </w:p>
    <w:p>
      <w:pPr>
        <w:pStyle w:val="TextBody"/>
        <w:bidi w:val="0"/>
        <w:spacing w:before="240" w:after="0"/>
        <w:jc w:val="left"/>
        <w:rPr>
          <w:rFonts w:ascii="Times New Roman" w:hAnsi="Times New Roman"/>
          <w:sz w:val="20"/>
        </w:rPr>
      </w:pPr>
      <w:r>
        <w:rPr>
          <w:rFonts w:ascii="Times New Roman" w:hAnsi="Times New Roman"/>
          <w:sz w:val="20"/>
        </w:rPr>
        <w:t>Pursuant to the Wilson Agreement, in the event that Dr. Wilson’s employment with the Company is terminated by the Company without Cause (other than by reason of death or disability) or Dr. Wilson resigns for Good Reason (as each term is defined in the Wilson Agreement), in each case, more than 59 days prior to or 18 months after the closing of a Corporate Transaction (as defined in the Wilson Agreement), then Dr. Wilson shall be entitled to (i) a cash lump sum payment equal to 12 months of his then-current base salary, (ii) continued payment by the Company of COBRA health insurance premiums for Dr. Wilson and his eligible dependents for up to 12 months following the date of Dr. Wilson’s separation from service (such date, the “</w:t>
      </w:r>
      <w:r>
        <w:rPr>
          <w:rFonts w:ascii="Times New Roman" w:hAnsi="Times New Roman"/>
          <w:b/>
          <w:i/>
          <w:sz w:val="20"/>
        </w:rPr>
        <w:t>Wilson Separation Date</w:t>
      </w:r>
      <w:r>
        <w:rPr>
          <w:rFonts w:ascii="Times New Roman" w:hAnsi="Times New Roman"/>
          <w:sz w:val="20"/>
        </w:rPr>
        <w:t xml:space="preserve">”) and (iii) an extension of the post-termination exercise period for any outstanding stock options held by Dr. Wilson to the shorter of 12 months and the remaining term of the applicable outstanding option. In the event such termination or resignation occurs within 59 days prior to, on or within 18 months following the closing of a Corporate Transaction, then Dr. Wilson shall be entitled to (i) a cash lump sum payment equal to 24 months of his then-current base salary, (ii) a cash lump sum payment equal to 200% of his target bonus for the year in which the Corporate Transaction occurs, (iii) continued payment by the Company of COBRA health insurance premiums for Dr. Wilson and his eligible dependents for up to 24 months following the Wilson Separation Date, (iv) full acceleration of vesting of all outstanding equity awards held by Dr. Wilson (with performance-based awards vesting at target) and (v) an extension of the post-termination exercise period for any outstanding stock options held by Dr. Wilson to the shorter of 12 months and the remaining term of the applicable outstanding option. </w:t>
      </w:r>
    </w:p>
    <w:p>
      <w:pPr>
        <w:pStyle w:val="TextBody"/>
        <w:bidi w:val="0"/>
        <w:spacing w:before="240" w:after="0"/>
        <w:jc w:val="left"/>
        <w:rPr>
          <w:rFonts w:ascii="Times New Roman" w:hAnsi="Times New Roman"/>
          <w:sz w:val="20"/>
        </w:rPr>
      </w:pPr>
      <w:r>
        <w:rPr>
          <w:rFonts w:ascii="Times New Roman" w:hAnsi="Times New Roman"/>
          <w:sz w:val="20"/>
        </w:rPr>
        <w:t>Pursuant to each of the Powl Agreement and the Ford Agreement, in the event that the applicable executive’s employment with the Company is terminated by the Company without Cause (other than by reason of death or disability) or such executive resigns for Good Reason (as each term is defined in the Powl Agreement or the Ford Agreement, as applicable), in each case, more than 59 days prior to or 18 months after the closing of a Corporate Transaction (as defined in the Powl Agreement or the Ford Agreement, as applicable), then such executive shall be entitled to (i) a cash lump sum payment equal to 12 months of such executive’s then-current base salary, (ii) continued payment by the Company of COBRA health insurance premiums for such executive and their eligible dependents for up to 12 months following the date of the executive’s separation from service (such date, the “</w:t>
      </w:r>
      <w:r>
        <w:rPr>
          <w:rFonts w:ascii="Times New Roman" w:hAnsi="Times New Roman"/>
          <w:b/>
          <w:i/>
          <w:sz w:val="20"/>
        </w:rPr>
        <w:t>Separation Date</w:t>
      </w:r>
      <w:r>
        <w:rPr>
          <w:rFonts w:ascii="Times New Roman" w:hAnsi="Times New Roman"/>
          <w:sz w:val="20"/>
        </w:rPr>
        <w:t xml:space="preserve">”) and (iii) an extension of the post-termination exercise period for any outstanding stock options held by such executive to the shorter of 12 months and the remaining term of the applicable outstanding option. In the event such termination or resignation occurs within 59 days prior to, on or within 18 months following the closing of a Corporate Transaction, then such executive shall be entitled to (i) a cash lump sum payment equal to 18 months of such executive’s then-current base salary, (ii) a cash lump sum payment equal to 150% of such executive’s target bonus for the year in which the Corporate Transaction occurs, (iii) continued payment by the Company of COBRA health insurance premiums for such executive and their eligible dependents for up to 18 months following the applicable Separation Date, (iv) full acceleration of vesting of all outstanding equity awards held by such executive (with performance-based awards vesting at target) and (v) an extension of the post-termination exercise period for any outstanding stock options held by such executive to the shorter of 12 months and the remaining term of the applicable outstanding option. </w:t>
      </w:r>
    </w:p>
    <w:p>
      <w:pPr>
        <w:pStyle w:val="TextBody"/>
        <w:bidi w:val="0"/>
        <w:spacing w:before="240" w:after="0"/>
        <w:jc w:val="left"/>
        <w:rPr>
          <w:rFonts w:ascii="Times New Roman" w:hAnsi="Times New Roman"/>
          <w:sz w:val="20"/>
        </w:rPr>
      </w:pPr>
      <w:r>
        <w:rPr>
          <w:rFonts w:ascii="Times New Roman" w:hAnsi="Times New Roman"/>
          <w:sz w:val="20"/>
        </w:rPr>
        <w:t xml:space="preserve">The remaining terms and conditions of the A&amp;R Agreements remain substantially unchanged. Complete copies of the Wilson Agreement, the Powl Agreement and the Ford Agreement will be filed with the Company’s Quarterly Report on Form 10-Q for the quarter ending September 30, 2026. The above summaries of the A&amp;R Agreements do not purport to be complete and are qualified in their entirety by reference to such exhibits.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4906" w:type="dxa"/>
        <w:jc w:val="left"/>
        <w:tblInd w:w="0" w:type="dxa"/>
        <w:tblLayout w:type="fixed"/>
        <w:tblCellMar>
          <w:top w:w="0" w:type="dxa"/>
          <w:left w:w="0" w:type="dxa"/>
          <w:bottom w:w="0" w:type="dxa"/>
          <w:right w:w="0" w:type="dxa"/>
        </w:tblCellMar>
      </w:tblPr>
      <w:tblGrid>
        <w:gridCol w:w="1895"/>
        <w:gridCol w:w="60"/>
        <w:gridCol w:w="23"/>
        <w:gridCol w:w="60"/>
        <w:gridCol w:w="434"/>
        <w:gridCol w:w="71"/>
        <w:gridCol w:w="2363"/>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68" w:type="dxa"/>
            <w:gridSpan w:val="3"/>
            <w:tcBorders/>
            <w:vAlign w:val="center"/>
          </w:tcPr>
          <w:p>
            <w:pPr>
              <w:pStyle w:val="TableContents"/>
              <w:bidi w:val="0"/>
              <w:spacing w:before="0" w:after="283"/>
              <w:jc w:val="left"/>
              <w:rPr>
                <w:b/>
              </w:rPr>
            </w:pPr>
            <w:r>
              <w:rPr>
                <w:b/>
              </w:rPr>
              <w:t>KURA ONCOLOGY,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94" w:type="dxa"/>
            <w:gridSpan w:val="2"/>
            <w:tcBorders/>
            <w:vAlign w:val="center"/>
          </w:tcPr>
          <w:p>
            <w:pPr>
              <w:pStyle w:val="TableContents"/>
              <w:bidi w:val="0"/>
              <w:spacing w:before="0" w:after="283"/>
              <w:jc w:val="left"/>
              <w:rPr>
                <w:sz w:val="4"/>
                <w:szCs w:val="4"/>
              </w:rPr>
            </w:pPr>
            <w:r>
              <w:rPr>
                <w:sz w:val="4"/>
                <w:szCs w:val="4"/>
              </w:rPr>
            </w:r>
          </w:p>
        </w:tc>
        <w:tc>
          <w:tcPr>
            <w:tcW w:w="2434"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By:</w:t>
            </w:r>
          </w:p>
        </w:tc>
        <w:tc>
          <w:tcPr>
            <w:tcW w:w="71" w:type="dxa"/>
            <w:tcBorders/>
            <w:vAlign w:val="center"/>
          </w:tcPr>
          <w:p>
            <w:pPr>
              <w:pStyle w:val="TableContents"/>
              <w:bidi w:val="0"/>
              <w:spacing w:before="0" w:after="283"/>
              <w:jc w:val="left"/>
              <w:rPr/>
            </w:pPr>
            <w:r>
              <w:rPr/>
              <w:t> </w:t>
            </w:r>
          </w:p>
        </w:tc>
        <w:tc>
          <w:tcPr>
            <w:tcW w:w="2363"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Teresa Bair</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b/>
              </w:rPr>
            </w:pPr>
            <w:r>
              <w:rPr>
                <w:b/>
              </w:rPr>
              <w:t>Teresa Bair</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b/>
              </w:rPr>
            </w:pPr>
            <w:r>
              <w:rPr>
                <w:b/>
              </w:rPr>
              <w:t>Chief Legal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1207</Words>
  <Characters>6386</Characters>
  <CharactersWithSpaces>7589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