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42740d8k.htm"/>
      <w:bookmarkStart w:id="1" w:name="ksd642740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January 24,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KURA ONCOLOGY,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503" w:type="dxa"/>
        <w:jc w:val="left"/>
        <w:tblInd w:w="0" w:type="dxa"/>
        <w:tblLayout w:type="fixed"/>
        <w:tblCellMar>
          <w:top w:w="0" w:type="dxa"/>
          <w:left w:w="0" w:type="dxa"/>
          <w:bottom w:w="0" w:type="dxa"/>
          <w:right w:w="0" w:type="dxa"/>
        </w:tblCellMar>
      </w:tblPr>
      <w:tblGrid>
        <w:gridCol w:w="3292"/>
        <w:gridCol w:w="95"/>
        <w:gridCol w:w="1686"/>
        <w:gridCol w:w="60"/>
        <w:gridCol w:w="1370"/>
      </w:tblGrid>
      <w:tr>
        <w:trPr/>
        <w:tc>
          <w:tcPr>
            <w:tcW w:w="3292"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292" w:type="dxa"/>
            <w:tcBorders/>
            <w:vAlign w:val="center"/>
          </w:tcPr>
          <w:p>
            <w:pPr>
              <w:pStyle w:val="TableContents"/>
              <w:bidi w:val="0"/>
              <w:spacing w:before="0" w:after="283"/>
              <w:jc w:val="center"/>
              <w:rPr>
                <w:b/>
              </w:rPr>
            </w:pPr>
            <w:r>
              <w:rPr>
                <w:b/>
              </w:rPr>
              <w:t>Delaware</w:t>
            </w:r>
          </w:p>
        </w:tc>
        <w:tc>
          <w:tcPr>
            <w:tcW w:w="95"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center"/>
              <w:rPr>
                <w:b/>
              </w:rPr>
            </w:pPr>
            <w:r>
              <w:rPr>
                <w:b/>
              </w:rPr>
              <w:t>001-37620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61-1547851</w:t>
            </w:r>
          </w:p>
        </w:tc>
      </w:tr>
      <w:tr>
        <w:trPr/>
        <w:tc>
          <w:tcPr>
            <w:tcW w:w="329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95"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5073"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5073" w:type="dxa"/>
            <w:gridSpan w:val="3"/>
            <w:tcBorders/>
            <w:vAlign w:val="center"/>
          </w:tcPr>
          <w:p>
            <w:pPr>
              <w:pStyle w:val="TableContents"/>
              <w:bidi w:val="0"/>
              <w:spacing w:before="0" w:after="283"/>
              <w:jc w:val="center"/>
              <w:rPr>
                <w:b/>
              </w:rPr>
            </w:pPr>
            <w:r>
              <w:rPr>
                <w:b/>
              </w:rPr>
              <w:t>12730 High Bluff Drive, Suite 400, San Diego, CA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92130</w:t>
            </w:r>
          </w:p>
        </w:tc>
      </w:tr>
      <w:tr>
        <w:trPr/>
        <w:tc>
          <w:tcPr>
            <w:tcW w:w="5073"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(858) 500-8800</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KURA</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80"/>
        <w:gridCol w:w="3785"/>
      </w:tblGrid>
      <w:tr>
        <w:trPr/>
        <w:tc>
          <w:tcPr>
            <w:tcW w:w="980"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24, 2024, Kura Oncology, Inc. (the “Company”) entered into a securities purchase agreement (the “Securities Purchase Agreement”) with certain institutional accredited investors named therein (the “Purchasers”), pursuant to which the Company agreed to issue and sell to the Purchasers in a private placement (the “Private Placement”) (i) an aggregate of 1,376,813 shares (the “Shares”) of the Company’s common stock, par value $0.0001 per share (the “Common Stock”), at a purchase price of $17.25 per share, and (ii), in lieu of shares of Common Stock to certain Purchasers, pre-funded warrants (the “Pre-Funded Warrants”) to purchase up to an aggregate of 7,318,886 shares of Common Stock (the “Warrant Shares”) at a purchase price of $17.2499 per Pre-Funded Warrant (representing the $17.25 per Share purchase price less the exercise price of $0.0001 per Warrant Share). The Pre-Funded Warrants are exercisable at any time after their original issuance and will not expire.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acted as the sole placement agent for the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closed on January 26, 2024. The Company received aggregate gross proceeds from the Private Placement of approximately $150.0 million, before deducting estimated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issued in the Private Placement provide that the holder of the Pre-Funded Warrants will not have the right to exercise any portion of its Pre-Funded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to the Company, but not to any percentage in excess of 19.99%.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Securities Purchase Agreement and the Pre-Funded Warrants do not purport to be complete and are qualified in their entirety by reference to such agreements, copies of which are filed as Exhibits 10.1 and 4.1 hereto, respectively, and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26, 2024, the Company entered into a registration rights agreement (the “Registration Rights Agreement”) with the Purchasers, pursuant to which the Company agreed to register for resale the Shares and the Warrant Shares held by the Purchasers (the “Registrable Securities”). Under the Registration Rights Agreement, the Company has agreed to file a registration statement covering the resale of the Registrable Securities by no later than February 23, 2024 (the “Filing Deadline”). The Company has agreed to use reasonable efforts to cause such registration statement to become effective as soon as practicable, but in any event no later than the 30th calendar day following the filing of the registration statement (or, in the event of a “limited” or a “full review” by the U.S. Securities and Exchange Commission (the “SEC”), the 45th or 60th day, respectively, following such filing date). The Company also agreed to use reasonable efforts to keep such registration statement effective until the date the Shares and Warrant Shares covered by such registration statement have been sold or may be resold pursuant to Rule 144 without restriction. The Company has agreed to be responsible for all fees and expenses incurred in connection with the registration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(i) the registration statement has not been filed by the Filing Deadline, (ii) the registration statement has not been declared effective prior to the earlier of (A) three business days after the date which the Company is notified by the SEC that the registration statement will not be reviewed by the SEC staff or is not subject to further comment by the SEC staff, or (B) 30 days following the Filing Deadline (or, in the event of “limited review” or “full review” by the SEC, 45 or 60 days, respectively, following the Filing Deadline) or (iii) after the registration statement has been declared effective by the SEC, sales cannot be made pursuant to the registration statement for any reason including by reason of a stop order or the Company’s failure to update such registration statement, subject to certain limited exceptions, then the Company has agreed to make pro rata payments to the Purchasers as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liquidated damages in an amount equal to 1% of the aggregate amount invested by the Purchasers in the Registrable Securities per 30-day period or pro rata for any portion thereof for each such month during which such event continues, subject to certain caps set forth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granted the Purchasers customary indemnification rights in connection with the registration statement. The Purchasers have also granted the Company customary indemnification rights in connection with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Registration Rights Agreement does not purport to be complete and is qualified in its entirety by reference to the Registration Rights Agreement, a copy of which is filed as Exhibit 10.2 hereto and incorporated by reference herein.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980"/>
        <w:gridCol w:w="3395"/>
      </w:tblGrid>
      <w:tr>
        <w:trPr/>
        <w:tc>
          <w:tcPr>
            <w:tcW w:w="980"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relating to the Private Placement is hereby incorporated by reference into this Item 3.02. Based in part upon the representations of the Purchasers in the Securities Purchase Agreement, the offering and sale of the securities was made in reliance on the exemption afforded by Regulation D under the Securities Act of 1933, as amended (the “Securities Act”), and corresponding provisions of state securities or “blue sky” laws. The securities issued in the Private Placement have not been registered under the Securities Act or any state securities laws and may not be offered or sold in the United States absent registration with the SEC or an applicable exemption from the registration requirements. The sale of the securities in the Private Placement did not involve a public offering and was made without general solicitation or general advertising. The Purchasers represented that they are accredited investors, as such term is defined in Rule 501(a) of Regulation D under the Securities Act, and that they are acquiring the securities not with a view to any resale, distribution or other disposition of the securities in violation of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any exhibit attached hereto is an offer to sell or the solicitation of an offer to buy shares of Common Stock or other securities of the Company.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980"/>
        <w:gridCol w:w="1235"/>
      </w:tblGrid>
      <w:tr>
        <w:trPr/>
        <w:tc>
          <w:tcPr>
            <w:tcW w:w="980"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24, 2024, the Company issued a press release announcing the Private Placement. A copy of the press release is attached as Exhibit 99.1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including without limitation statements regarding the Company’s cash runway, the intended use of the net proceeds from the Private Placement, the filing and timing of a resale registration statement and the Company’s plans regarding future clinical trials. The words “anticipate,” “believe,” “continue,” “could,” “estimate,” “expect,” “intend,” “may,” “plan,” “potential,” “predict,” “project,” “target,” “should,”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important factors, including risks relating to the Company’s cash needs; risks and uncertainties associated with the Company’s business and finances in general; and risks described under the caption “Risk Factors” in the Company’s Quarterly Report on Form 10-Q for the quarterly period ended September 30, 2023, which is on file with the SEC; and risks described in other filings that the Company makes with the SEC in the future. Any forward-looking statements contained in this Current Report on Form 8-K speak only as of the date hereof, and the Company expressly disclaims any obligation to update any forward-looking statements, whether because of new information, future events or otherwise. </w:t>
      </w:r>
      <w:r>
        <w:br w:type="page"/>
      </w:r>
    </w:p>
    <w:p>
      <w:pPr>
        <w:pStyle w:val="HorizontalLine"/>
        <w:bidi w:val="0"/>
        <w:jc w:val="left"/>
        <w:rPr/>
      </w:pPr>
      <w:r>
        <w:rPr/>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1"/>
        <w:gridCol w:w="120"/>
        <w:gridCol w:w="9514"/>
      </w:tblGrid>
      <w:tr>
        <w:trPr/>
        <w:tc>
          <w:tcPr>
            <w:tcW w:w="5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4" w:type="dxa"/>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b/>
              </w:rPr>
            </w:pPr>
            <w:r>
              <w:rPr>
                <w:b/>
              </w:rPr>
              <w:t>Description</w:t>
            </w:r>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642740dex41.htm">
              <w:r>
                <w:rPr>
                  <w:rStyle w:val="InternetLink"/>
                </w:rPr>
                <w:t xml:space="preserve">Form of Pre-Funded Warrant.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642740dex101.htm">
              <w:r>
                <w:rPr>
                  <w:rStyle w:val="InternetLink"/>
                </w:rPr>
                <w:t xml:space="preserve">Securities Purchase Agreement, dated January 24, 2024, by and among Kura Oncology, Inc. and the persons party thereto.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642740dex102.htm">
              <w:r>
                <w:rPr>
                  <w:rStyle w:val="InternetLink"/>
                </w:rPr>
                <w:t xml:space="preserve">Registration Rights Agreement, dated January 26, 2024, by and among Kura Oncology, Inc. and the persons party thereto.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hyperlink w:anchor="d642740dex991.htm">
              <w:r>
                <w:rPr>
                  <w:rStyle w:val="InternetLink"/>
                </w:rPr>
                <w:t xml:space="preserve">Press Release, dated January 24, 2024. </w:t>
              </w:r>
            </w:hyperlink>
          </w:p>
        </w:tc>
      </w:tr>
      <w:tr>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4"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A copy of any omitted schedule and/or exhibit will be furnished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740" w:type="dxa"/>
        <w:jc w:val="left"/>
        <w:tblInd w:w="0" w:type="dxa"/>
        <w:tblLayout w:type="fixed"/>
        <w:tblCellMar>
          <w:top w:w="0" w:type="dxa"/>
          <w:left w:w="0" w:type="dxa"/>
          <w:bottom w:w="0" w:type="dxa"/>
          <w:right w:w="0" w:type="dxa"/>
        </w:tblCellMar>
      </w:tblPr>
      <w:tblGrid>
        <w:gridCol w:w="2240"/>
        <w:gridCol w:w="60"/>
        <w:gridCol w:w="60"/>
        <w:gridCol w:w="60"/>
        <w:gridCol w:w="365"/>
        <w:gridCol w:w="60"/>
        <w:gridCol w:w="189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b/>
              </w:rPr>
            </w:pPr>
            <w:r>
              <w:rPr>
                <w:b/>
              </w:rPr>
              <w:t>Kura Oncology, Inc.</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pPr>
            <w:r>
              <w:rPr/>
              <w:t>Date: January 26,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Teresa Bair</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Teresa Bair</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Chief Legal Officer</w:t>
            </w:r>
          </w:p>
        </w:tc>
      </w:tr>
    </w:tbl>
    <w:p>
      <w:pPr>
        <w:pStyle w:val="TextBody"/>
        <w:bidi w:val="0"/>
        <w:spacing w:before="0" w:after="0"/>
        <w:jc w:val="right"/>
        <w:rPr>
          <w:rFonts w:ascii="Times New Roman" w:hAnsi="Times New Roman"/>
          <w:b/>
          <w:sz w:val="20"/>
        </w:rPr>
      </w:pPr>
      <w:bookmarkStart w:id="2" w:name="d642740dex41.htm"/>
      <w:bookmarkStart w:id="3" w:name="ksd642740dex41"/>
      <w:bookmarkEnd w:id="2"/>
      <w:bookmarkEnd w:id="3"/>
      <w:r>
        <w:rPr>
          <w:rFonts w:ascii="Times New Roman" w:hAnsi="Times New Roman"/>
          <w:b/>
          <w:sz w:val="20"/>
        </w:rPr>
        <w:t xml:space="preserve">Exhibit 4.1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THE SECURITIES AND THE SECURITIES ISSUABLE UPON EXERCISE OF THESE SECURITIES REPRESENTED BY THIS CERTIFICATE HAVE NOT BEEN REGISTERED UNDER THE SECURITIES ACT OF 1933, AS AMENDED, OR THE SECURITIES LAWS OF ANY STATE OF THE UNITED STATES OR IN ANY OTHER JURISDICTION. THE SECURITIES AND THE SECURITIES ISSUABLE UPON EXERCISE OF THESE SECURITIES REPRESENTED HEREBY MAY NOT BE OFFERED, SOLD OR TRANSFERRED IN THE ABSENCE OF AN EFFECTIVE REGISTRATION STATEMENT FOR THE SECURITIES UNDER APPLICABLE SECURITIES LAWS UNLESS OFFERED, SOLD OR TRANSFERRED PURSUANT TO AN AVAILABLE EXEMPTION FROM THE REGISTRATION REQUIREMENTS OF THOSE LAWS, INCLUDING RULE 144 UNDER THE SECURITIES ACT. NOTWITHSTANDING THE FOREGOING, THE SECURITIES AND THE SECURITIES ISSUABLE UPON EXERCISE OF THESE SECURITIES MAY BE PLEDGED IN CONNECTION WITH A BONA FIDE MARGIN ACCOUNT OR OTHER LOAN OR FINANCING ARRANGEMENT SECURED BY THE SECURITIES. </w:t>
      </w:r>
    </w:p>
    <w:p>
      <w:pPr>
        <w:pStyle w:val="TextBody"/>
        <w:bidi w:val="0"/>
        <w:spacing w:before="240" w:after="0"/>
        <w:jc w:val="center"/>
        <w:rPr>
          <w:rFonts w:ascii="Times New Roman" w:hAnsi="Times New Roman"/>
          <w:sz w:val="20"/>
        </w:rPr>
      </w:pPr>
      <w:r>
        <w:rPr>
          <w:rFonts w:ascii="Times New Roman" w:hAnsi="Times New Roman"/>
          <w:sz w:val="20"/>
        </w:rPr>
        <w:t xml:space="preserve">KURA ONCOLOGY,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3"/>
        <w:gridCol w:w="120"/>
        <w:gridCol w:w="4922"/>
      </w:tblGrid>
      <w:tr>
        <w:trPr/>
        <w:tc>
          <w:tcPr>
            <w:tcW w:w="51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63" w:type="dxa"/>
            <w:tcBorders/>
            <w:vAlign w:val="bottom"/>
          </w:tcPr>
          <w:p>
            <w:pPr>
              <w:pStyle w:val="TableContents"/>
              <w:bidi w:val="0"/>
              <w:spacing w:before="0" w:after="283"/>
              <w:jc w:val="left"/>
              <w:rPr/>
            </w:pPr>
            <w:r>
              <w:rPr/>
              <w:t>Warrant No. PF-[]</w:t>
            </w:r>
          </w:p>
        </w:tc>
        <w:tc>
          <w:tcPr>
            <w:tcW w:w="120" w:type="dxa"/>
            <w:tcBorders/>
            <w:vAlign w:val="bottom"/>
          </w:tcPr>
          <w:p>
            <w:pPr>
              <w:pStyle w:val="TableContents"/>
              <w:bidi w:val="0"/>
              <w:spacing w:before="0" w:after="283"/>
              <w:jc w:val="left"/>
              <w:rPr/>
            </w:pPr>
            <w:r>
              <w:rPr/>
              <w:t>  </w:t>
            </w:r>
          </w:p>
        </w:tc>
        <w:tc>
          <w:tcPr>
            <w:tcW w:w="4922" w:type="dxa"/>
            <w:tcBorders/>
            <w:vAlign w:val="bottom"/>
          </w:tcPr>
          <w:p>
            <w:pPr>
              <w:pStyle w:val="TableContents"/>
              <w:bidi w:val="0"/>
              <w:spacing w:before="0" w:after="283"/>
              <w:jc w:val="left"/>
              <w:rPr/>
            </w:pPr>
            <w:r>
              <w:rPr/>
              <w:t>Number of Shares: []</w:t>
            </w:r>
          </w:p>
        </w:tc>
      </w:tr>
      <w:tr>
        <w:trPr/>
        <w:tc>
          <w:tcPr>
            <w:tcW w:w="516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22" w:type="dxa"/>
            <w:tcBorders/>
            <w:vAlign w:val="bottom"/>
          </w:tcPr>
          <w:p>
            <w:pPr>
              <w:pStyle w:val="TableContents"/>
              <w:bidi w:val="0"/>
              <w:spacing w:before="0" w:after="283"/>
              <w:jc w:val="left"/>
              <w:rPr/>
            </w:pPr>
            <w:r>
              <w:rPr/>
              <w:t>(subject to adjustment)</w:t>
            </w:r>
          </w:p>
        </w:tc>
      </w:tr>
      <w:tr>
        <w:trPr/>
        <w:tc>
          <w:tcPr>
            <w:tcW w:w="516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22" w:type="dxa"/>
            <w:tcBorders/>
            <w:vAlign w:val="bottom"/>
          </w:tcPr>
          <w:p>
            <w:pPr>
              <w:pStyle w:val="TableContents"/>
              <w:bidi w:val="0"/>
              <w:spacing w:before="0" w:after="283"/>
              <w:jc w:val="left"/>
              <w:rPr/>
            </w:pPr>
            <w:r>
              <w:rPr/>
              <w:t>Original Issue Date: []</w:t>
            </w:r>
          </w:p>
        </w:tc>
      </w:tr>
    </w:tbl>
    <w:p>
      <w:pPr>
        <w:pStyle w:val="TextBody"/>
        <w:bidi w:val="0"/>
        <w:spacing w:before="240" w:after="0"/>
        <w:jc w:val="left"/>
        <w:rPr>
          <w:rFonts w:ascii="Times New Roman" w:hAnsi="Times New Roman"/>
          <w:sz w:val="20"/>
        </w:rPr>
      </w:pPr>
      <w:r>
        <w:rPr>
          <w:rFonts w:ascii="Times New Roman" w:hAnsi="Times New Roman"/>
          <w:sz w:val="20"/>
        </w:rPr>
        <w:t>Kura Oncology, Inc., a Delaware corporation (the </w:t>
      </w:r>
      <w:r>
        <w:rPr>
          <w:rFonts w:ascii="Times New Roman" w:hAnsi="Times New Roman"/>
          <w:sz w:val="20"/>
          <w:u w:val="single"/>
        </w:rPr>
        <w:t>Company</w:t>
      </w:r>
      <w:r>
        <w:rPr>
          <w:rFonts w:ascii="Times New Roman" w:hAnsi="Times New Roman"/>
          <w:sz w:val="20"/>
        </w:rPr>
        <w:t>), hereby certifies that, for good and valuable consideration, the receipt and sufficiency of which are hereby acknowledged, [] or its permitted assigns (the </w:t>
      </w:r>
      <w:r>
        <w:rPr>
          <w:rFonts w:ascii="Times New Roman" w:hAnsi="Times New Roman"/>
          <w:sz w:val="20"/>
          <w:u w:val="single"/>
        </w:rPr>
        <w:t>Holder</w:t>
      </w:r>
      <w:r>
        <w:rPr>
          <w:rFonts w:ascii="Times New Roman" w:hAnsi="Times New Roman"/>
          <w:sz w:val="20"/>
        </w:rPr>
        <w:t>), is entitled, subject to the terms set forth below, to purchase from the Company up to a total of [] shares of common stock, $0.0001 par value per share (the </w:t>
      </w:r>
      <w:r>
        <w:rPr>
          <w:rFonts w:ascii="Times New Roman" w:hAnsi="Times New Roman"/>
          <w:sz w:val="20"/>
          <w:u w:val="single"/>
        </w:rPr>
        <w:t>Common Stock</w:t>
      </w:r>
      <w:r>
        <w:rPr>
          <w:rFonts w:ascii="Times New Roman" w:hAnsi="Times New Roman"/>
          <w:sz w:val="20"/>
        </w:rPr>
        <w:t>), of the Company (each such share, a </w:t>
      </w:r>
      <w:r>
        <w:rPr>
          <w:rFonts w:ascii="Times New Roman" w:hAnsi="Times New Roman"/>
          <w:sz w:val="20"/>
          <w:u w:val="single"/>
        </w:rPr>
        <w:t>Warrant Share</w:t>
      </w:r>
      <w:r>
        <w:rPr>
          <w:rFonts w:ascii="Times New Roman" w:hAnsi="Times New Roman"/>
          <w:sz w:val="20"/>
        </w:rPr>
        <w:t> and all such shares, the </w:t>
      </w:r>
      <w:r>
        <w:rPr>
          <w:rFonts w:ascii="Times New Roman" w:hAnsi="Times New Roman"/>
          <w:sz w:val="20"/>
          <w:u w:val="single"/>
        </w:rPr>
        <w:t>Warrant Shares</w:t>
      </w:r>
      <w:r>
        <w:rPr>
          <w:rFonts w:ascii="Times New Roman" w:hAnsi="Times New Roman"/>
          <w:sz w:val="20"/>
        </w:rPr>
        <w:t>) at an exercise price per share equal to $0.0001 per share (as adjusted from time to time as provided in Section 9 herein, the </w:t>
      </w:r>
      <w:r>
        <w:rPr>
          <w:rFonts w:ascii="Times New Roman" w:hAnsi="Times New Roman"/>
          <w:sz w:val="20"/>
          <w:u w:val="single"/>
        </w:rPr>
        <w:t>Exercise Price</w:t>
      </w:r>
      <w:r>
        <w:rPr>
          <w:rFonts w:ascii="Times New Roman" w:hAnsi="Times New Roman"/>
          <w:sz w:val="20"/>
        </w:rPr>
        <w:t>), upon surrender of this Pre-Funded Warrant to Purchase Common Stock (including any Warrants to Purchase Common Stock issued in exchange, transfer or replacement hereof, the </w:t>
      </w:r>
      <w:r>
        <w:rPr>
          <w:rFonts w:ascii="Times New Roman" w:hAnsi="Times New Roman"/>
          <w:sz w:val="20"/>
          <w:u w:val="single"/>
        </w:rPr>
        <w:t>Warrant</w:t>
      </w:r>
      <w:r>
        <w:rPr>
          <w:rFonts w:ascii="Times New Roman" w:hAnsi="Times New Roman"/>
          <w:sz w:val="20"/>
        </w:rPr>
        <w:t>) at any time and from time to time on or after the date hereof (the </w:t>
      </w:r>
      <w:r>
        <w:rPr>
          <w:rFonts w:ascii="Times New Roman" w:hAnsi="Times New Roman"/>
          <w:sz w:val="20"/>
          <w:u w:val="single"/>
        </w:rPr>
        <w:t>Original Issue Date</w:t>
      </w:r>
      <w:r>
        <w:rPr>
          <w:rFonts w:ascii="Times New Roman" w:hAnsi="Times New Roman"/>
          <w:sz w:val="20"/>
        </w:rPr>
        <w:t xml:space="preserve">), and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Capitalized terms used and not otherwise defined herein shall have the meanings set forth in the Securities Purchase Agreement. In addition to the other terms defined herein, the following terms are defined as follows: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Attribution Parties</w:t>
      </w:r>
      <w:r>
        <w:rPr>
          <w:rFonts w:ascii="Times New Roman" w:hAnsi="Times New Roman"/>
          <w:sz w:val="20"/>
        </w:rPr>
        <w:t xml:space="preserve"> means, collectively, the following Persons and entities: (i) any direct or indirect Affiliates of the Holder, (ii) any Person acting or who reasonably could be deemed to be acting as a Group together with the Holder or any of the foregoing and (iii) any other Persons whose beneficial ownership of the Common Stock reasonably could be aggregated with the Holders and the other Attribution Parties for purposes of Section 13(d) or Section 16 of the Exchange Act. For clarity, the purpose of the foregoing is to subject collectively the Holder and all other Attribution Parties to the Maximum Percentage.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(formerly OTC Markets Inc.) as of 4:00 P.M., New York City time on such date. If the Closing Sale Price cannot be calculated for a security on a particular date on any of the foregoing bases, the Closing Sale Price of such security on such date shall be the fair market value as mutually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Person</w:t>
      </w:r>
      <w:r>
        <w:rPr>
          <w:rFonts w:ascii="Times New Roman" w:hAnsi="Times New Roman"/>
          <w:sz w:val="20"/>
        </w:rPr>
        <w:t xml:space="preserve"> means an individual, corporation, partnership, limited liability company, trust, business trust, association, joint stock company, joint venture, sole proprietorship, unincorporated organization, governmental authority or any other form of entity not specifically listed herein.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Securities Purchase Agreement</w:t>
      </w:r>
      <w:r>
        <w:rPr>
          <w:rFonts w:ascii="Times New Roman" w:hAnsi="Times New Roman"/>
          <w:sz w:val="20"/>
        </w:rPr>
        <w:t xml:space="preserve"> means that certain Securities Purchase Agreement, dated as of January 24, 2024, between the Company and the Purchasers party thereto.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for the Companys primary trading market or quotation system with respect to the Common Stock that is in effect on the date of delivery of an applicable Exercise Notice, which as of the Original Issue Date was T+2.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Trading Day</w:t>
      </w:r>
      <w:r>
        <w:rPr>
          <w:rFonts w:ascii="Times New Roman" w:hAnsi="Times New Roman"/>
          <w:sz w:val="20"/>
        </w:rPr>
        <w:t xml:space="preserve"> means a day on which the Common Stock is traded on Principal Trading Market.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Transfer Agent</w:t>
      </w:r>
      <w:r>
        <w:rPr>
          <w:rFonts w:ascii="Times New Roman" w:hAnsi="Times New Roman"/>
          <w:sz w:val="20"/>
        </w:rPr>
        <w:t xml:space="preserve"> means Equiniti Trust Company, LLC, the Companys transfer agent and registrar for the Common Stock, and any successor appointed in such capacity, or if none, the Company.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VWAP</w:t>
      </w:r>
      <w:r>
        <w:rPr>
          <w:rFonts w:ascii="Times New Roman" w:hAnsi="Times New Roman"/>
          <w:sz w:val="20"/>
        </w:rPr>
        <w:t xml:space="preserve"> means, for any date, the daily volume weighted average price of the Common Stock on such date (or the nearest preceding date) on the Principal Market on which the Common Stock is then listed or quoted as reported by Bloomberg L.P. (based on a Trading Day from 9:30 a.m. (New York City time) to 4:02 p.m. (New York City time), or if the Common Stock is not then listed or quoted for trading on a securities exchange or trading market,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Warrant Agent</w:t>
      </w:r>
      <w:r>
        <w:rPr>
          <w:rFonts w:ascii="Times New Roman" w:hAnsi="Times New Roman"/>
          <w:sz w:val="20"/>
        </w:rPr>
        <w:t xml:space="preserve"> means, initially, the Company in its capacity as transfer agent and registrar for the Warrants; provided that upon ten (10) days notice to the Holder, the Company may appoint a successor warrant agent which shall be the Warrant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Securities Purchase Agreement. Accordingly, the Warrant and the Warrant Shares are restricted securities under Rule 144 promulgated under the Securities Act. The Company shall register ownership of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and holder hereof for the purpose of any exercise hereof or any distribution to the Holder, and for all other purposes, absent actual notice to the contrary.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the Warrant Agent to, register the transfer of all or any portion of this Warrant in the Warrant Register, upon surrender of this Warrant, together with a written assignment of this Warrant substantially in the form attached hereto as Schedule 2 duly executed by the Holder, and payment for all applicable transfer taxes accompanied by reasonable evidence of authority of the party making such request that may be required by the Warrant Agent. Upon any such registration or transfer, a new warrant to purchase Common Stock in substantially the form of this Warrant (any such new warrant, a </w:t>
      </w:r>
      <w:r>
        <w:rPr>
          <w:rFonts w:ascii="Times New Roman" w:hAnsi="Times New Roman"/>
          <w:sz w:val="20"/>
          <w:u w:val="single"/>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the Warrant Agent to, prepare, issue and deliver at the Companys own expense any New Warrant under this Section 3. Until due presentment for registration of transfer, the Company may deem and treat the registered Holder of this Warrant as the absolute owner and holder for all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w:t>
      </w:r>
    </w:p>
    <w:p>
      <w:pPr>
        <w:pStyle w:val="TextBody"/>
        <w:bidi w:val="0"/>
        <w:spacing w:before="240" w:after="0"/>
        <w:jc w:val="left"/>
        <w:rPr>
          <w:rFonts w:ascii="Times New Roman" w:hAnsi="Times New Roman"/>
          <w:sz w:val="20"/>
        </w:rPr>
      </w:pPr>
      <w:r>
        <w:rPr>
          <w:rFonts w:ascii="Times New Roman" w:hAnsi="Times New Roman"/>
          <w:sz w:val="20"/>
        </w:rPr>
        <w:t>(b) The Holder may exercise this Warrant by delivering to the Company (i) an exercise notice, in the form attached as Schedule 1 hereto (the </w:t>
      </w:r>
      <w:r>
        <w:rPr>
          <w:rFonts w:ascii="Times New Roman" w:hAnsi="Times New Roman"/>
          <w:sz w:val="20"/>
          <w:u w:val="single"/>
        </w:rPr>
        <w:t>Exercise Notice</w:t>
      </w:r>
      <w:r>
        <w:rPr>
          <w:rFonts w:ascii="Times New Roman" w:hAnsi="Times New Roman"/>
          <w:sz w:val="20"/>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Exercise Notice is delivered to the Company (as determined in accordance with the notice provisions hereof) is an </w:t>
      </w:r>
      <w:r>
        <w:rPr>
          <w:rFonts w:ascii="Times New Roman" w:hAnsi="Times New Roman"/>
          <w:sz w:val="20"/>
          <w:u w:val="single"/>
        </w:rPr>
        <w:t>Exercise Date</w:t>
      </w:r>
      <w:r>
        <w:rPr>
          <w:rFonts w:ascii="Times New Roman" w:hAnsi="Times New Roman"/>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by to be paid by the Holder to effect any exercise of this Warrant. In the event that the aggregate Exercise Price is being paid in cash (a </w:t>
      </w:r>
      <w:r>
        <w:rPr>
          <w:rFonts w:ascii="Times New Roman" w:hAnsi="Times New Roman"/>
          <w:sz w:val="20"/>
          <w:u w:val="single"/>
        </w:rPr>
        <w:t>Cash Exercise</w:t>
      </w:r>
      <w:r>
        <w:rPr>
          <w:rFonts w:ascii="Times New Roman" w:hAnsi="Times New Roman"/>
          <w:sz w:val="20"/>
        </w:rPr>
        <w:t>), the Holder shall deliver the aggregate Exercise Price for the Warrant Shares specified in the applicable Exercise Notice by wire transfer within two (2) Trading Days (or, if less, the number of Trading Days comprising the Standard Settlement Period on the Exercise Date) following the Exercise Date (the </w:t>
      </w:r>
      <w:r>
        <w:rPr>
          <w:rFonts w:ascii="Times New Roman" w:hAnsi="Times New Roman"/>
          <w:sz w:val="20"/>
          <w:u w:val="single"/>
        </w:rPr>
        <w:t>Exercise Price Delivery Deadline</w:t>
      </w:r>
      <w:r>
        <w:rPr>
          <w:rFonts w:ascii="Times New Roman" w:hAnsi="Times New Roman"/>
          <w:sz w:val="20"/>
        </w:rPr>
        <w:t xml:space="preserve">). The Holder shall not be entitled to the return or refund of all, or any portion, of such pre-funded exercise price under any circumstance or for any reason whatsoever.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following the Exercise Date (or, in the case of a Cash Exercise, if the applicable aggregate Exercise Price is not received by the Company by the Exercise Price Delivery Deadline, one (1) Trading Day after the date the applicable aggregate Exercise Price is received by the Company): (1) credit such aggregate number of shares of Common Stock to which the Holder is entitled pursuant to such exercise to the Holders or its designees balance account with The Depository Trust Company (</w:t>
      </w:r>
      <w:r>
        <w:rPr>
          <w:rFonts w:ascii="Times New Roman" w:hAnsi="Times New Roman"/>
          <w:sz w:val="20"/>
          <w:u w:val="single"/>
        </w:rPr>
        <w:t>DTC</w:t>
      </w:r>
      <w:r>
        <w:rPr>
          <w:rFonts w:ascii="Times New Roman" w:hAnsi="Times New Roman"/>
          <w:sz w:val="20"/>
        </w:rPr>
        <w:t xml:space="preserve">) through its Deposit/Withdrawal At Custodian system if either (A) there is an effective registration statement permitting the issuance of such Warrant Shares to or resale of such Warrant Shares by the Holder, (B) such Warrant Shares are eligible for resale by the Holder without volume or manner-of-sale limitations pursuant to Rule 144 promulgated under the Securities Act, or (C) any of the other Unrestricted Conditions is then satisfied in respect of such Warrant Shares, or (2) otherwise issue such Warrant Shares in the name of the Holder or its designee in restricted book-entry form in the Companys share register. The Company agrees to maintain a transfer agent that is a participant in the FAST program so long as this Warrant remains outstanding and exercisable. The Holder, or any other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the book entry positions evidencing such Warrant Shares, as the case may be. The Holder acknowledges that the Warrant Shares acquired upon the exercise of this Warrant, if issued in restricted book-entry form, will contain a customary legend to the effect that the Warrant Shares are not registered.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If by the end of the Standard Settlement Period after the Exercise Date (or, in the case of a Cash Exercise, if the applicable aggregate Exercise Price is not received by the Company by the Exercise Price Delivery Deadline, one (1) Trading Day after the date the applicable aggregate Exercise Price is received by the Company) (the </w:t>
      </w:r>
      <w:r>
        <w:rPr>
          <w:rFonts w:ascii="Times New Roman" w:hAnsi="Times New Roman"/>
          <w:sz w:val="20"/>
          <w:u w:val="single"/>
        </w:rPr>
        <w:t>Share Delivery Date</w:t>
      </w:r>
      <w:r>
        <w:rPr>
          <w:rFonts w:ascii="Times New Roman" w:hAnsi="Times New Roman"/>
          <w:sz w:val="20"/>
        </w:rPr>
        <w:t>), the Company fails to deliver to the Holder or its designee the required number of Warrant Shares in the manner required pursuant to Section 5(a) or fails to credit the Holders or its designees balance account with DTC for such number of Warrant Shares to which the Holder is entitled (including as the result of an Authorized Share Failure, but other than a failure caused by incorrect or incomplete information provided by the Holder to the Company or a failure to pay the applicable aggregate Exercise Price), or if a registration statement covering the resale of the Warrant Shares that are the subject of an Exercise Notice (the </w:t>
      </w:r>
      <w:r>
        <w:rPr>
          <w:rFonts w:ascii="Times New Roman" w:hAnsi="Times New Roman"/>
          <w:sz w:val="20"/>
          <w:u w:val="single"/>
        </w:rPr>
        <w:t>Exercise Notice Warrant Shares</w:t>
      </w:r>
      <w:r>
        <w:rPr>
          <w:rFonts w:ascii="Times New Roman" w:hAnsi="Times New Roman"/>
          <w:sz w:val="20"/>
        </w:rPr>
        <w:t>) is not available for the resale of such Exercise Notice Warrant Shares and the Company fails to promptly, but in no event later than one (1) Business Day after such registration statement becomes unavailable, to so notify the Holder, and in connection with a sale of any such Exercise Notice Warrant Shares (the </w:t>
      </w:r>
      <w:r>
        <w:rPr>
          <w:rFonts w:ascii="Times New Roman" w:hAnsi="Times New Roman"/>
          <w:sz w:val="20"/>
          <w:u w:val="single"/>
        </w:rPr>
        <w:t>Sold Exercise Warrant Shares</w:t>
      </w:r>
      <w:r>
        <w:rPr>
          <w:rFonts w:ascii="Times New Roman" w:hAnsi="Times New Roman"/>
          <w:sz w:val="20"/>
        </w:rPr>
        <w:t>), the Company is unable to deliver the Sold Exercise Notice Warrant Shares without a restrictive legend, the Company shall pay additional damages to the Holder, in cash, for each thirty (30) day period thereafter that such exercise is not timely effected in an amount equal to (prorated for any partial period) one percent (1.00%) of (the product of (I) the number of Warrant Shares not issued and delivered to the Holder (in each case, free of any restrictive legend, provided, that any Unrestricted Condition is satisfied) and (II) the VWAP of a share of Common Stock on the Exercise Date. Alternatively, in lieu of the foregoing damages, but in addition to any other rights or remedies available to the Holder under this Warrant and the other Transaction Documents or otherwise at law or in equity, at the written election of the Holder made in the Holders sole discretion, if after such number of Trading Days comprising the Standard Settlement Period (or, in the case of a Cash Exercise, if the applicable aggregate Exercise Price is not received by the Company by the Exercise Price Delivery Deadline, one (1) Trading Day after the date the applicable aggregate Exercise Price is received by the Company)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within two (2) Trading Days after the Holders request and in the Holders sole and absolute discretion, either (1) pay in cash to the Holder an amount equal to the Holders total purchase price (including brokerage commissions, if any) for the shares of Common Stock so purchased, at which point the Companys obligation to issue such Warrant Shares shall terminate or (2) promptly honor its obligation to deliver to the Holder or its designee such Warrant Shares or credit the Holders or its designees balance account with DTC for such Warrant Shares and pay cash to the Holder in an amount equal to the Holders total purchase price (including brokerage commissions, if any) for the shares of Common Stock so purchased in the Buy-In, </w:t>
      </w:r>
      <w:r>
        <w:rPr>
          <w:rFonts w:ascii="Times New Roman" w:hAnsi="Times New Roman"/>
          <w:i/>
          <w:sz w:val="20"/>
        </w:rPr>
        <w:t>less</w:t>
      </w:r>
      <w:r>
        <w:rPr>
          <w:rFonts w:ascii="Times New Roman" w:hAnsi="Times New Roman"/>
          <w:sz w:val="20"/>
        </w:rPr>
        <w:t xml:space="preserve"> the product of (A) the number of shares of Common Stock purchased in the Buy-In, times (B) the price at which the sell order giving rise to such purchase obligation was executed by the Holder. The Companys current transfer agent participates in the DTC Fast Automated Securities Transfer Program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the Warrant Shares. In addition to the foregoing rights, (1) if the Company fails to deliver the applicable number of Warrant Shares upon an exercise pursuant to Section 5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5 or otherwise, and (2) if a registration statement covering the resale of Exercise Notice Warrant Shares is not available for the resale of such Exercise Notice Warrant Shares, the Holder has submitted a Notice of Exercise prior to receiving notice of the non-availability of such registration statement, and the Company has not already delivered to the Holder the Exercise Notice Warrant Shares without any restrictive legend, then the Holder shall have the right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5 or otherwise, and/or (y) switch some or all of such Exercise Notice from a cash exercise to a Cashless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fullest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the Warrant Shares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shares of Common Stock upon exercise of this Warrant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In the event of any loss, theft or destruction of a Warrant for which the Company and the Warrant Agent shall have received from the registered holder an indemnification reasonably satisfactory to the Company and the Warrant Agent holding the Warrant Agent and Company harmless, the Warrant Agent shall issue a New Warrant in a form mutually agreed to by the Warrant Agent and the Company for those certificates alleged to have been lost, stolen or destroyed, absent notice to the Warrant Agent that such certificates have been acquired by a bona fide purchaser and, at the Companys or the Warrant Agents request, reimbursement to the Company and the Warrant Agent of all reasonable expenses incidental thereto. The Warrant Agent may, at its option, issue replacement Warrants for mutilated certificates upon presentation thereof without such indemnity.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issuable and deliverable upon the exercise of this entire Warrant, free from preemptive rights or any other Purchase Rights (as defined below)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hAnsi="Times New Roman"/>
          <w:sz w:val="20"/>
          <w:u w:val="single"/>
        </w:rPr>
        <w:t>Authorized Share Failure</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actions as may be reasonably necessary to assure that such shares of Common Stock may be issued as provided herein without violation of any applicable law or regulation, of any requirements of any securities exchange or automated quotation system upon which the Common Stock may be listed or of any contract to which the Company or any of its subsidiaries is bound. The Company further covenants that it will not, without the prior written consent of the Holder,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 definitive Information Statement on Schedule 14C, and such obligation shall be deemed satisfied on the 21st calendar day after such filing is accepted.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through (iv) of this paragraph shall become effective immediately after the effective date of such subdivision, combination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on or after the Original Issue Date, the Company shall declare or make any dividend or other pro rata distribution of its assets (or rights to acquire its assets) (including, without limitation, by way of return of capital) to holders of shares of Common Stock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Section 9(a), any distribution of Purchase Rights subject to Section 9(c) and any Fundamental Transaction (as defined below) subject to Section 9(d)) (a </w:t>
      </w:r>
      <w:r>
        <w:rPr>
          <w:rFonts w:ascii="Times New Roman" w:hAnsi="Times New Roman"/>
          <w:sz w:val="20"/>
          <w:u w:val="single"/>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(all or a portion) its right thereto would not result in the Holder and the other Attribution Parties exceeding the Maximum Percentage, at which time or times the Holder shall be granted (all or such portion of)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Rights</w:t>
      </w:r>
      <w:r>
        <w:rPr>
          <w:rFonts w:ascii="Times New Roman" w:hAnsi="Times New Roman"/>
          <w:sz w:val="20"/>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Warrant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hAnsi="Times New Roman"/>
          <w:sz w:val="20"/>
          <w:u w:val="single"/>
        </w:rPr>
        <w:t>Options</w:t>
      </w:r>
      <w:r>
        <w:rPr>
          <w:rFonts w:ascii="Times New Roman" w:hAnsi="Times New Roman"/>
          <w:sz w:val="20"/>
        </w:rPr>
        <w:t> means any rights, warrants or options to subscribe for or purchase shares of Common Stock or Convertible Securities and (ii) </w:t>
      </w:r>
      <w:r>
        <w:rPr>
          <w:rFonts w:ascii="Times New Roman" w:hAnsi="Times New Roman"/>
          <w:sz w:val="20"/>
          <w:u w:val="single"/>
        </w:rPr>
        <w:t>Convertible Securities</w:t>
      </w:r>
      <w:r>
        <w:rPr>
          <w:rFonts w:ascii="Times New Roman" w:hAnsi="Times New Roman"/>
          <w:sz w:val="20"/>
        </w:rPr>
        <w:t xml:space="preserve"> mean any capital stock, debt, securities or other contractual rights (other than Options) directly or indirectly convertible into or exercisable or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Transactions</w:t>
      </w:r>
      <w:r>
        <w:rPr>
          <w:rFonts w:ascii="Times New Roman" w:hAnsi="Times New Roman"/>
          <w:sz w:val="20"/>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hAnsi="Times New Roman"/>
          <w:sz w:val="20"/>
          <w:u w:val="single"/>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sz w:val="20"/>
          <w:u w:val="single"/>
        </w:rPr>
        <w:t>Alternate Consideration</w:t>
      </w:r>
      <w:r>
        <w:rPr>
          <w:rFonts w:ascii="Times New Roman" w:hAnsi="Times New Roman"/>
          <w:sz w:val="20"/>
        </w:rPr>
        <w:t>). If holders of shares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sz w:val="20"/>
          <w:u w:val="single"/>
        </w:rPr>
        <w:t>Successor Entity</w:t>
      </w:r>
      <w:r>
        <w:rPr>
          <w:rFonts w:ascii="Times New Roman" w:hAnsi="Times New Roman"/>
          <w:sz w:val="20"/>
        </w:rPr>
        <w:t xml:space="preserve">) to assume in writing all of the obligations of the Company under this Warrant and the other Transaction Documents in accordance with the provisions of this Section 9(d)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Warrant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Events</w:t>
      </w:r>
      <w:r>
        <w:rPr>
          <w:rFonts w:ascii="Times New Roman" w:hAnsi="Times New Roman"/>
          <w:sz w:val="20"/>
        </w:rPr>
        <w:t xml:space="preserve">. If any event occurs of the type contemplated by, or similar to, the provisions of this Section 9 but not expressly provided for by such provisions, then the Companys Board of Directors will make an appropriate adjustment in the Exercise Price and the number of Warrant Shares obtainable upon exercise of this Warrant so as to protect the rights of the Holder; provided that no such adjustment will increase the Exercise Price or decrease the number of Warrant Shares obtainable as otherwise determined pursuant to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paragraph (a) of this Section 9 (including any adjustment to the Exercise Price that would have been effected but for the final sentence in this paragraph (e)),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Calculations</w:t>
      </w:r>
      <w:r>
        <w:rPr>
          <w:rFonts w:ascii="Times New Roman" w:hAnsi="Times New Roman"/>
          <w:sz w:val="20"/>
        </w:rPr>
        <w:t xml:space="preserve">. All calculations under this Section 9 shall be made to the nearest one ten-hundredth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Adjustments</w:t>
      </w:r>
      <w:r>
        <w:rPr>
          <w:rFonts w:ascii="Times New Roman" w:hAnsi="Times New Roman"/>
          <w:sz w:val="20"/>
        </w:rPr>
        <w:t xml:space="preserve">.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and the Warrant Agent, and will issue a New Warrant to the Holder reflecting such calculations.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Payment of Exercise Price</w:t>
      </w:r>
      <w:r>
        <w:rPr>
          <w:rFonts w:ascii="Times New Roman" w:hAnsi="Times New Roman"/>
          <w:sz w:val="20"/>
        </w:rPr>
        <w:t xml:space="preserve">. Notwithstanding anything contained herein to the contrary, the Holder may at any time,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w:t>
      </w:r>
    </w:p>
    <w:p>
      <w:pPr>
        <w:pStyle w:val="TextBody"/>
        <w:bidi w:val="0"/>
        <w:spacing w:before="240" w:after="0"/>
        <w:jc w:val="center"/>
        <w:rPr>
          <w:rFonts w:ascii="Times New Roman" w:hAnsi="Times New Roman"/>
          <w:sz w:val="20"/>
        </w:rPr>
      </w:pPr>
      <w:r>
        <w:rPr>
          <w:rFonts w:ascii="Times New Roman" w:hAnsi="Times New Roman"/>
          <w:sz w:val="20"/>
        </w:rPr>
        <w:t xml:space="preserve">X = Y [(A-B)/A]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X equals the number of Warrant Shares to be issued to the Holder; </w:t>
      </w:r>
    </w:p>
    <w:p>
      <w:pPr>
        <w:pStyle w:val="TextBody"/>
        <w:bidi w:val="0"/>
        <w:spacing w:before="240" w:after="0"/>
        <w:jc w:val="left"/>
        <w:rPr>
          <w:rFonts w:ascii="Times New Roman" w:hAnsi="Times New Roman"/>
          <w:sz w:val="20"/>
        </w:rPr>
      </w:pP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rFonts w:ascii="Times New Roman" w:hAnsi="Times New Roman"/>
          <w:sz w:val="20"/>
        </w:rPr>
      </w:pPr>
      <w:r>
        <w:rPr>
          <w:rFonts w:ascii="Times New Roman" w:hAnsi="Times New Roman"/>
          <w:sz w:val="20"/>
        </w:rPr>
        <w:t xml:space="preserve">A equals the Closing Sale Price of the shares of Common Stock (as reported by Bloomberg Financial Markets) as of the Trading Day on the date immediately preceding the Exercise Date; and </w:t>
      </w:r>
    </w:p>
    <w:p>
      <w:pPr>
        <w:pStyle w:val="TextBody"/>
        <w:bidi w:val="0"/>
        <w:spacing w:before="240" w:after="0"/>
        <w:jc w:val="left"/>
        <w:rPr>
          <w:rFonts w:ascii="Times New Roman" w:hAnsi="Times New Roman"/>
          <w:sz w:val="20"/>
        </w:rPr>
      </w:pPr>
      <w:r>
        <w:rPr>
          <w:rFonts w:ascii="Times New Roman" w:hAnsi="Times New Roman"/>
          <w:sz w:val="20"/>
        </w:rPr>
        <w:t xml:space="preserve">B equals the Exercise Price then in effect for the applicable Warrant Shares at the time of such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registration statement registering the resale of the Warrant Shares is, for any reason, not effective at the time of exercise of this Warrant, then the Warrant may only be exercised through a cashless exercise, as set forth in this Section 10. Except as set forth in Section 5(b) (Buy-In remedy), Section 9(d) (payments in respect of Fundamental Transactions) and Section 12 (payment of cash in lieu of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Holder shall be prohibited from exercising this Warrant if, immediately prior to or following such exercise (or portion of such exercise thereof), the Holder, together with its Attribution Parties, beneficially owns or would beneficially own as determined in accordance with Section 13(d) of the Exchange Act more than [4.99% / 9.99% / 19.99%] (the </w:t>
      </w:r>
      <w:r>
        <w:rPr>
          <w:rFonts w:ascii="Times New Roman" w:hAnsi="Times New Roman"/>
          <w:sz w:val="20"/>
          <w:u w:val="single"/>
        </w:rPr>
        <w:t>Maximum Percentage</w:t>
      </w:r>
      <w:r>
        <w:rPr>
          <w:rFonts w:ascii="Times New Roman" w:hAnsi="Times New Roman"/>
          <w:sz w:val="20"/>
        </w:rPr>
        <w:t xml:space="preserve">) of the issued and outstanding Common Stock or any other class of equity security (other than an exempted security) of the Company that is registered pursuant to Section 12 of the Exchange Act. For purposes of calculating beneficial ownership, the aggregate number of shares of Common Stock beneficially owned by the Holder, together with its Attribution Parties, shall include the number of shares of Common Stock issuable upon exercise of this Warrant with respect to which the determination is being made, but shall exclude the number of shares of Common Stock which are issuable upon (i) conversion of the remaining, unconverted portion of this Warrant beneficially owned by the Holder, together with its Attribution Parties, and (ii) exercise or conversion of the unexercised or unconverted portion of any other securities of the Company beneficially owned by the Holder, together with its Attribution Parties (including, without limitation, any convertible notes, convertible stock or warrants) that are subject to a limitation on conversion or exercise analogous to the limitation contained herein. For purposes of this Section 11(a), beneficial ownership shall be calculated and determined in accordance with Section 13(d) of the Exchange Act and the rules promulgated thereunder, it being acknowledged and agreed that the Holder is solely responsible for any schedules required to be filed in accordance therewith. For purposes of this Warrant, in determining the number of outstanding shares of Common Stock, the Holder may rely on the number of outstanding shares of Common Stock as reflected in (1) the Companys most recent Form 10-K, Form 10-Q, Current Report on Form 8-K or other public filing with the SEC, as the case may be, (2) a more recent public announcement by the Company or (3) any other written notice by the Company or the Transfer Agent setting forth the number of shares of Common Stock outstanding. For any reason at any time, upon the written request of the Holder, the Company shall within two (2) Business Days confirm to the Holder, orally and in writing, the number of shares of Common Stock then outstanding. Each delivery of an Exercise Notice by the Holder will constitute a representation by the Holder, upon which the Company shall be entitled to rely without investigation, that the Holder has evaluated the limitation set forth in this paragraph and determined that the issuance of the full number of Warrant Shares requested in such Exercise Notice is permitted under this paragraph. Any purported delivery of any number of shares of Common Stock or any other security upon exercise of this Warrant shall be void and have no effect to the extent, but only to the extent, that before or after such delivery, the exercising Holder, together with its Affiliates and any other Attribution Party would have beneficial ownership in excess of the Maximum Percentage. By written notice to the Company, the Holder may from time to time increase or decrease the Maximum Percentage to any other percentage not in excess of 19.99% specified in such notice; provided that any increase in the Maximum Percentage will not be effective until the sixty-first (61st) day after such notice is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This Section 11 shall not restrict the number of shares of Common Stock which the Holder may receive or beneficially own in order to determine the amount of securities or other consideration that the Holder may receive in the event of a Fundamental Transaction as contemplated in Section 9(d)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provided, however, the Company shall not be required to pay an amount for any fractional share less than $100.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internationally recognized overnight express courier or electronic mail, and (ii) will be deemed given (A) if delivered by first-class registered or certified mail domestic, three (3) Business Days after so mailed, (B) if delivered by nationally recognized overnight carrier, one (1) Business Day after so mailed, (C) if delivered by internationally recognized overnight express courier, two (2) Business Days after so mailed and (D) at the time of transmission, if delivered by electronic mail to the email address specified in this Section 13 prior to 5:00 p.m. (New York time) on a Trading Day, and (E) the next Trading Day after the date of transmission, if delivered by electronic mail to the email address specified in this Section 13 on a day that is not a Trading Day or later than 5:00 p.m. (New York time) on any Trading Day: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Kura Oncology, Inc. </w:t>
      </w:r>
    </w:p>
    <w:p>
      <w:pPr>
        <w:pStyle w:val="TextBody"/>
        <w:bidi w:val="0"/>
        <w:spacing w:before="0" w:after="0"/>
        <w:jc w:val="left"/>
        <w:rPr>
          <w:rFonts w:ascii="Times New Roman" w:hAnsi="Times New Roman"/>
          <w:sz w:val="20"/>
        </w:rPr>
      </w:pPr>
      <w:r>
        <w:rPr>
          <w:rFonts w:ascii="Times New Roman" w:hAnsi="Times New Roman"/>
          <w:sz w:val="20"/>
        </w:rPr>
        <w:t xml:space="preserve">12730 High Bluff Drive, Suite 400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92130 </w:t>
      </w:r>
    </w:p>
    <w:p>
      <w:pPr>
        <w:pStyle w:val="TextBody"/>
        <w:bidi w:val="0"/>
        <w:spacing w:before="0" w:after="0"/>
        <w:jc w:val="left"/>
        <w:rPr>
          <w:rFonts w:ascii="Times New Roman" w:hAnsi="Times New Roman"/>
          <w:sz w:val="20"/>
        </w:rPr>
      </w:pPr>
      <w:r>
        <w:rPr>
          <w:rFonts w:ascii="Times New Roman" w:hAnsi="Times New Roman"/>
          <w:sz w:val="20"/>
        </w:rPr>
        <w:t xml:space="preserve">Attn: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delivery of an Exercise Notice, 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10265 Science Center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0" w:after="0"/>
        <w:jc w:val="left"/>
        <w:rPr>
          <w:rFonts w:ascii="Times New Roman" w:hAnsi="Times New Roman"/>
          <w:sz w:val="20"/>
        </w:rPr>
      </w:pPr>
      <w:r>
        <w:rPr>
          <w:rFonts w:ascii="Times New Roman" w:hAnsi="Times New Roman"/>
          <w:sz w:val="20"/>
        </w:rPr>
        <w:t xml:space="preserve">Attn: Charles Bair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(ii) if to the Holder, at such address or other contact information delivered by the Holder to Company or as is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delivery of any exercise or assignment of this Warrant, no ink-original Exercise Notice or assignment form, as applicable, shall be required, nor shall any medallion guarantee (or other type of guarantee or notarization) of any Exercise Form or assignment form be required. For the avoidance of doubt, any Exercise Notice may be delivered by electronic mail.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Warrant Agent shall initially serve as warrant agent under this Warrant. Upon ten (10) days notice to the Holder, the Company may appoint a new warrant agent. Any entity into which the Warrant Agent or any new warrant agent may be merged or any entity resulting from any consolidation to which the Warrant Agent or any new warrant agent shall be a party or any entity to which the Warrant Agent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Amendment and Waiver</w:t>
      </w:r>
      <w:r>
        <w:rPr>
          <w:rFonts w:ascii="Times New Roman" w:hAnsi="Times New Roman"/>
          <w:sz w:val="20"/>
        </w:rPr>
        <w:t xml:space="preserve">.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AND ALL OTHER MATTERS RELATING HERETO,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a reference is made in this Warrant to a Section, such reference shall be to a Section of this Warrant unless otherwise indicated. Whenever the words include, includes or including are used in this Warrant, they shall be deemed to be followed by the words without limitation. The words hereof, herein and hereunder and words of similar import when used in this Warrant shall refer to this Warrant as a whole and not to any particular provision of this Warrant unless the context requires otherwise. The words date hereof when used in this Warrant shall refer to the date of this Warrant.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Warrant shall have the defined meanings when used in any document made or delivered pursuant hereto unless otherwise defined therein. The definitions contained in this Warrant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and all payments hereunder shall be made in, the lawful money of the United States. References to a Person are also to its successors and permitted assigns. When calculating the period of time between which, within which or following which any act is to be done or step taken pursuant to this Warrant, the date that is the reference date in calculating such period shall be excluded (and, unless otherwise required by law, if the last day of such period is not a Business Day, the period in question shall end on the next succeeding Business Day).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Pre-Funded Warrant to be duly executed as of the Original Issue Date set out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KURA ONCOLOGY, INC.</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Troy Wilson, Ph.D., J.D.</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President &amp;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center"/>
        <w:rPr>
          <w:rFonts w:ascii="Times New Roman" w:hAnsi="Times New Roman"/>
          <w:sz w:val="20"/>
        </w:rPr>
      </w:pPr>
      <w:r>
        <w:rPr>
          <w:rFonts w:ascii="Times New Roman" w:hAnsi="Times New Roman"/>
          <w:sz w:val="20"/>
        </w:rPr>
        <w:t xml:space="preserve">KURA ONCOLOGY, INC.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PF-[] (the </w:t>
      </w:r>
      <w:r>
        <w:rPr>
          <w:rFonts w:ascii="Times New Roman" w:hAnsi="Times New Roman"/>
          <w:sz w:val="20"/>
          <w:u w:val="single"/>
        </w:rPr>
        <w:t>Warrant</w:t>
      </w:r>
      <w:r>
        <w:rPr>
          <w:rFonts w:ascii="Times New Roman" w:hAnsi="Times New Roman"/>
          <w:sz w:val="20"/>
        </w:rPr>
        <w:t>) issued by Kura Oncology, Inc. a Delaware corporation (the </w:t>
      </w:r>
      <w:r>
        <w:rPr>
          <w:rFonts w:ascii="Times New Roman" w:hAnsi="Times New Roman"/>
          <w:sz w:val="20"/>
          <w:u w:val="single"/>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120" w:after="0"/>
        <w:jc w:val="left"/>
        <w:rPr/>
      </w:pPr>
      <w:r>
        <w:rPr/>
        <w:t xml:space="preserve">☐ </w:t>
      </w:r>
      <w:r>
        <w:rPr>
          <w:rFonts w:ascii="Times New Roman" w:hAnsi="Times New Roman"/>
          <w:sz w:val="20"/>
        </w:rPr>
        <w:t xml:space="preserve">Cash Exercise </w:t>
      </w:r>
    </w:p>
    <w:p>
      <w:pPr>
        <w:pStyle w:val="TextBody"/>
        <w:bidi w:val="0"/>
        <w:spacing w:before="240" w:after="0"/>
        <w:jc w:val="left"/>
        <w:rPr/>
      </w:pPr>
      <w:r>
        <w:rPr/>
        <w:t xml:space="preserve">☐ </w:t>
      </w:r>
      <w:r>
        <w:rPr>
          <w:rFonts w:ascii="Times New Roman" w:hAnsi="Times New Roman"/>
          <w:sz w:val="20"/>
        </w:rPr>
        <w:t xml:space="preserve">Cashless Exercise under Section 10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 it will not purchase or sell any securities, including the Warrant Shares, in violation of applicable securities laws and (ii)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Name of Holder: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76"/>
        <w:gridCol w:w="60"/>
        <w:gridCol w:w="3346"/>
      </w:tblGrid>
      <w:tr>
        <w:trPr/>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6" w:type="dxa"/>
            <w:tcBorders>
              <w:bottom w:val="single" w:sz="2" w:space="0" w:color="000000"/>
            </w:tcBorders>
            <w:tcMar>
              <w:bottom w:w="28" w:type="dxa"/>
            </w:tcMar>
          </w:tcPr>
          <w:p>
            <w:pPr>
              <w:pStyle w:val="TableContents"/>
              <w:bidi w:val="0"/>
              <w:spacing w:before="0" w:after="283"/>
              <w:jc w:val="left"/>
              <w:rPr/>
            </w:pPr>
            <w:r>
              <w:rPr/>
              <w:t> </w:t>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6" w:type="dxa"/>
            <w:tcBorders>
              <w:bottom w:val="single" w:sz="2" w:space="0" w:color="000000"/>
            </w:tcBorders>
            <w:tcMar>
              <w:bottom w:w="28" w:type="dxa"/>
            </w:tcMar>
          </w:tcPr>
          <w:p>
            <w:pPr>
              <w:pStyle w:val="TableContents"/>
              <w:bidi w:val="0"/>
              <w:spacing w:before="0" w:after="283"/>
              <w:jc w:val="left"/>
              <w:rPr/>
            </w:pPr>
            <w:r>
              <w:rPr/>
              <w:t> </w:t>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6"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240" w:after="0"/>
        <w:jc w:val="center"/>
        <w:rPr>
          <w:rFonts w:ascii="Times New Roman" w:hAnsi="Times New Roman"/>
          <w:b/>
          <w:sz w:val="20"/>
        </w:rPr>
      </w:pPr>
      <w:r>
        <w:rPr>
          <w:rFonts w:ascii="Times New Roman" w:hAnsi="Times New Roman"/>
          <w:b/>
          <w:sz w:val="20"/>
        </w:rPr>
        <w:t xml:space="preserve">ACKNOWLEDGMENT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acknowledges this Exercise Notice and hereby directs [__], jointly as warrant agent, to issue the above indicated number of shares of Common Stock on or prior to the applicable Share Delivery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62"/>
        <w:gridCol w:w="179"/>
        <w:gridCol w:w="3041"/>
      </w:tblGrid>
      <w:tr>
        <w:trPr/>
        <w:tc>
          <w:tcPr>
            <w:tcW w:w="862"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KURA ONCOLOGY, INC.</w:t>
            </w:r>
          </w:p>
        </w:tc>
      </w:tr>
      <w:tr>
        <w:trPr>
          <w:trHeight w:val="240" w:hRule="atLeast"/>
        </w:trPr>
        <w:tc>
          <w:tcPr>
            <w:tcW w:w="862" w:type="dxa"/>
            <w:tcBorders/>
            <w:vAlign w:val="center"/>
          </w:tcPr>
          <w:p>
            <w:pPr>
              <w:pStyle w:val="TableContents"/>
              <w:bidi w:val="0"/>
              <w:spacing w:before="0" w:after="283"/>
              <w:jc w:val="left"/>
              <w:rPr>
                <w:sz w:val="4"/>
                <w:szCs w:val="4"/>
              </w:rPr>
            </w:pPr>
            <w:r>
              <w:rPr>
                <w:sz w:val="4"/>
                <w:szCs w:val="4"/>
              </w:rPr>
            </w:r>
          </w:p>
        </w:tc>
        <w:tc>
          <w:tcPr>
            <w:tcW w:w="3220" w:type="dxa"/>
            <w:gridSpan w:val="2"/>
            <w:tcBorders/>
            <w:vAlign w:val="center"/>
          </w:tcPr>
          <w:p>
            <w:pPr>
              <w:pStyle w:val="TableContents"/>
              <w:bidi w:val="0"/>
              <w:spacing w:before="0" w:after="283"/>
              <w:jc w:val="left"/>
              <w:rPr>
                <w:sz w:val="4"/>
                <w:szCs w:val="4"/>
              </w:rPr>
            </w:pPr>
            <w:r>
              <w:rPr>
                <w:sz w:val="4"/>
                <w:szCs w:val="4"/>
              </w:rPr>
            </w:r>
          </w:p>
        </w:tc>
      </w:tr>
      <w:tr>
        <w:trPr/>
        <w:tc>
          <w:tcPr>
            <w:tcW w:w="86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79" w:type="dxa"/>
            <w:tcBorders>
              <w:bottom w:val="single" w:sz="2" w:space="0" w:color="000000"/>
            </w:tcBorders>
            <w:tcMar>
              <w:bottom w:w="28" w:type="dxa"/>
            </w:tcMar>
            <w:vAlign w:val="bottom"/>
          </w:tcPr>
          <w:p>
            <w:pPr>
              <w:pStyle w:val="TableContents"/>
              <w:bidi w:val="0"/>
              <w:spacing w:before="0" w:after="283"/>
              <w:jc w:val="left"/>
              <w:rPr/>
            </w:pPr>
            <w:r>
              <w:rPr/>
              <w:t> </w:t>
            </w:r>
          </w:p>
        </w:tc>
        <w:tc>
          <w:tcPr>
            <w:tcW w:w="304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left"/>
              <w:rPr/>
            </w:pPr>
            <w:r>
              <w:rPr/>
              <w:t>Name:</w:t>
            </w:r>
          </w:p>
        </w:tc>
      </w:tr>
      <w:tr>
        <w:trPr/>
        <w:tc>
          <w:tcPr>
            <w:tcW w:w="4082" w:type="dxa"/>
            <w:gridSpan w:val="3"/>
            <w:tcBorders/>
            <w:vAlign w:val="bottom"/>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2 </w:t>
      </w:r>
    </w:p>
    <w:p>
      <w:pPr>
        <w:pStyle w:val="TextBody"/>
        <w:bidi w:val="0"/>
        <w:spacing w:before="24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center"/>
        <w:rPr>
          <w:rFonts w:ascii="Times New Roman" w:hAnsi="Times New Roman"/>
          <w:i/>
          <w:sz w:val="20"/>
        </w:rPr>
      </w:pPr>
      <w:r>
        <w:rPr>
          <w:rFonts w:ascii="Times New Roman" w:hAnsi="Times New Roman"/>
          <w:i/>
          <w:sz w:val="20"/>
        </w:rPr>
        <w:t xml:space="preserve">(To assign the foregoing Warrant, execute this form and supply required information. Do not use this form to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foregoing Warrant and all rights evidenced thereby are hereby assigned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9"/>
        <w:gridCol w:w="120"/>
        <w:gridCol w:w="4676"/>
      </w:tblGrid>
      <w:tr>
        <w:trPr/>
        <w:tc>
          <w:tcPr>
            <w:tcW w:w="54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676"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(Please Print)</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676"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(Please Print)</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283"/>
              <w:jc w:val="left"/>
              <w:rPr>
                <w:u w:val="single"/>
              </w:rPr>
            </w:pPr>
            <w:r>
              <w:rPr>
                <w:u w:val="single"/>
              </w:rPr>
              <w:t>Phone Number:</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676"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283"/>
              <w:jc w:val="left"/>
              <w:rPr>
                <w:u w:val="single"/>
              </w:rPr>
            </w:pPr>
            <w:r>
              <w:rPr>
                <w:u w:val="single"/>
              </w:rPr>
              <w:t>Email Address: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676"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0"/>
              <w:jc w:val="left"/>
              <w:rPr>
                <w:rFonts w:ascii="Times New Roman" w:hAnsi="Times New Roman"/>
                <w:sz w:val="20"/>
              </w:rPr>
            </w:pPr>
            <w:r>
              <w:rPr>
                <w:rFonts w:ascii="Times New Roman" w:hAnsi="Times New Roman"/>
                <w:sz w:val="20"/>
              </w:rPr>
              <w:t>Dated: _______________ __, ______</w:t>
            </w:r>
          </w:p>
        </w:tc>
        <w:tc>
          <w:tcPr>
            <w:tcW w:w="120"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0"/>
              <w:jc w:val="left"/>
              <w:rPr>
                <w:rFonts w:ascii="Times New Roman" w:hAnsi="Times New Roman"/>
                <w:sz w:val="20"/>
              </w:rPr>
            </w:pPr>
            <w:r>
              <w:rPr>
                <w:rFonts w:ascii="Times New Roman" w:hAnsi="Times New Roman"/>
                <w:sz w:val="20"/>
              </w:rPr>
              <w:t>Holders Signature:</w:t>
            </w:r>
          </w:p>
        </w:tc>
        <w:tc>
          <w:tcPr>
            <w:tcW w:w="120"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0"/>
              <w:jc w:val="left"/>
              <w:rPr>
                <w:rFonts w:ascii="Times New Roman" w:hAnsi="Times New Roman"/>
                <w:sz w:val="20"/>
              </w:rPr>
            </w:pPr>
            <w:r>
              <w:rPr>
                <w:rFonts w:ascii="Times New Roman" w:hAnsi="Times New Roman"/>
                <w:sz w:val="20"/>
              </w:rPr>
              <w:t>Holders Address:</w:t>
            </w:r>
          </w:p>
        </w:tc>
        <w:tc>
          <w:tcPr>
            <w:tcW w:w="120"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4" w:name="d642740dex101.htm"/>
      <w:bookmarkStart w:id="5" w:name="ksd642740dex101"/>
      <w:bookmarkEnd w:id="4"/>
      <w:bookmarkEnd w:id="5"/>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b/>
          <w:sz w:val="20"/>
        </w:rPr>
        <w:t>THIS SECURITIES PURCHASE AGREEMENT</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dated as of January 24, 2024, by and among Kura Oncology, Inc., a Delaware corporation (the </w:t>
      </w:r>
      <w:r>
        <w:rPr>
          <w:rFonts w:ascii="Times New Roman" w:hAnsi="Times New Roman"/>
          <w:b/>
          <w:i/>
          <w:sz w:val="20"/>
        </w:rPr>
        <w:t>Company</w:t>
      </w:r>
      <w:r>
        <w:rPr>
          <w:rFonts w:ascii="Times New Roman" w:hAnsi="Times New Roman"/>
          <w:sz w:val="20"/>
        </w:rPr>
        <w:t xml:space="preserve">), and each purchaser identified on </w:t>
      </w:r>
      <w:r>
        <w:rPr>
          <w:rFonts w:ascii="Times New Roman" w:hAnsi="Times New Roman"/>
          <w:sz w:val="20"/>
          <w:u w:val="single"/>
        </w:rPr>
        <w:t>Schedule 1</w:t>
      </w:r>
      <w:r>
        <w:rPr>
          <w:rFonts w:ascii="Times New Roman" w:hAnsi="Times New Roman"/>
          <w:sz w:val="20"/>
        </w:rPr>
        <w:t xml:space="preserve"> hereto (each, including its successors and assigns, a </w:t>
      </w:r>
      <w:r>
        <w:rPr>
          <w:rFonts w:ascii="Times New Roman" w:hAnsi="Times New Roman"/>
          <w:b/>
          <w:i/>
          <w:sz w:val="20"/>
        </w:rPr>
        <w:t>Purchaser</w:t>
      </w:r>
      <w:r>
        <w:rPr>
          <w:rFonts w:ascii="Times New Roman" w:hAnsi="Times New Roman"/>
          <w:sz w:val="20"/>
        </w:rPr>
        <w:t> and collectively, the </w:t>
      </w:r>
      <w:r>
        <w:rPr>
          <w:rFonts w:ascii="Times New Roman" w:hAnsi="Times New Roman"/>
          <w:b/>
          <w:i/>
          <w:sz w:val="20"/>
        </w:rPr>
        <w:t>Purchasers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On the terms and subject to the conditions set forth in this Agreement and pursuant to Section 4(a)(2) of the Securities Act of 1933, as amended (the </w:t>
      </w:r>
      <w:r>
        <w:rPr>
          <w:rFonts w:ascii="Times New Roman" w:hAnsi="Times New Roman"/>
          <w:b/>
          <w:i/>
          <w:sz w:val="20"/>
        </w:rPr>
        <w:t>Securities Act</w:t>
      </w:r>
      <w:r>
        <w:rPr>
          <w:rFonts w:ascii="Times New Roman" w:hAnsi="Times New Roman"/>
          <w:sz w:val="20"/>
        </w:rPr>
        <w:t>), and Rule 506 promulgated thereunder, the Company desires to issue and sell to each Purchaser, and each Purchaser, severally and not jointly, desires to purchase from the Company, (i) shares (the </w:t>
      </w:r>
      <w:r>
        <w:rPr>
          <w:rFonts w:ascii="Times New Roman" w:hAnsi="Times New Roman"/>
          <w:b/>
          <w:i/>
          <w:sz w:val="20"/>
        </w:rPr>
        <w:t>Shares</w:t>
      </w:r>
      <w:r>
        <w:rPr>
          <w:rFonts w:ascii="Times New Roman" w:hAnsi="Times New Roman"/>
          <w:sz w:val="20"/>
        </w:rPr>
        <w:t>) of the Companys common stock, par value $0.0001 per share (</w:t>
      </w:r>
      <w:r>
        <w:rPr>
          <w:rFonts w:ascii="Times New Roman" w:hAnsi="Times New Roman"/>
          <w:b/>
          <w:i/>
          <w:sz w:val="20"/>
        </w:rPr>
        <w:t>Common Stock</w:t>
      </w:r>
      <w:r>
        <w:rPr>
          <w:rFonts w:ascii="Times New Roman" w:hAnsi="Times New Roman"/>
          <w:sz w:val="20"/>
        </w:rPr>
        <w:t xml:space="preserve">) and (ii) pre-funded warrants, in substantially the form attached hereto as </w:t>
      </w:r>
      <w:r>
        <w:rPr>
          <w:rFonts w:ascii="Times New Roman" w:hAnsi="Times New Roman"/>
          <w:sz w:val="20"/>
          <w:u w:val="single"/>
        </w:rPr>
        <w:t>Exhibit B</w:t>
      </w:r>
      <w:r>
        <w:rPr>
          <w:rFonts w:ascii="Times New Roman" w:hAnsi="Times New Roman"/>
          <w:sz w:val="20"/>
        </w:rPr>
        <w:t xml:space="preserve"> (each a </w:t>
      </w:r>
      <w:r>
        <w:rPr>
          <w:rFonts w:ascii="Times New Roman" w:hAnsi="Times New Roman"/>
          <w:b/>
          <w:i/>
          <w:sz w:val="20"/>
        </w:rPr>
        <w:t>Pre-Funded</w:t>
      </w:r>
      <w:r>
        <w:rPr>
          <w:rFonts w:ascii="Times New Roman" w:hAnsi="Times New Roman"/>
          <w:sz w:val="20"/>
        </w:rPr>
        <w:t xml:space="preserve"> </w:t>
      </w:r>
      <w:r>
        <w:rPr>
          <w:rFonts w:ascii="Times New Roman" w:hAnsi="Times New Roman"/>
          <w:b/>
          <w:i/>
          <w:sz w:val="20"/>
        </w:rPr>
        <w:t>Warrant</w:t>
      </w:r>
      <w:r>
        <w:rPr>
          <w:rFonts w:ascii="Times New Roman" w:hAnsi="Times New Roman"/>
          <w:sz w:val="20"/>
        </w:rPr>
        <w:t> and collectively, the </w:t>
      </w:r>
      <w:r>
        <w:rPr>
          <w:rFonts w:ascii="Times New Roman" w:hAnsi="Times New Roman"/>
          <w:b/>
          <w:i/>
          <w:sz w:val="20"/>
        </w:rPr>
        <w:t>Pre-Funded</w:t>
      </w:r>
      <w:r>
        <w:rPr>
          <w:rFonts w:ascii="Times New Roman" w:hAnsi="Times New Roman"/>
          <w:sz w:val="20"/>
        </w:rPr>
        <w:t xml:space="preserve"> </w:t>
      </w:r>
      <w:r>
        <w:rPr>
          <w:rFonts w:ascii="Times New Roman" w:hAnsi="Times New Roman"/>
          <w:b/>
          <w:i/>
          <w:sz w:val="20"/>
        </w:rPr>
        <w:t>Warrants</w:t>
      </w:r>
      <w:r>
        <w:rPr>
          <w:rFonts w:ascii="Times New Roman" w:hAnsi="Times New Roman"/>
          <w:sz w:val="20"/>
        </w:rPr>
        <w:t>), to purchase shares of Common Stock, as more fully described in this Agreement. The shares of Common Stock issuable upon exercise of, or otherwise pursuant to, the Pre-Funded Warrants collectively are referred to herein as the </w:t>
      </w:r>
      <w:r>
        <w:rPr>
          <w:rFonts w:ascii="Times New Roman" w:hAnsi="Times New Roman"/>
          <w:b/>
          <w:i/>
          <w:sz w:val="20"/>
        </w:rPr>
        <w:t>Warrant Shares</w:t>
      </w:r>
      <w:r>
        <w:rPr>
          <w:rFonts w:ascii="Times New Roman" w:hAnsi="Times New Roman"/>
          <w:sz w:val="20"/>
        </w:rPr>
        <w:t>. The Shares, Pre-Funded Warrants and Warrant Shares are collectively referred to herein as the </w:t>
      </w:r>
      <w:r>
        <w:rPr>
          <w:rFonts w:ascii="Times New Roman" w:hAnsi="Times New Roman"/>
          <w:b/>
          <w:i/>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the Closing (as hereinafter defined), each Purchaser, severally and not jointly, wishes to purchase, and the Company wishes to sell, upon the terms and conditions stated in this Agreement, the number of Shares and Pre-Funded Warrants as hereafter specified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 IN CONSIDERATION</w:t>
      </w:r>
      <w:r>
        <w:rPr>
          <w:rFonts w:ascii="Times New Roman" w:hAnsi="Times New Roman"/>
          <w:sz w:val="20"/>
        </w:rPr>
        <w:t xml:space="preserve"> of the mutual covenants contained in this Agreement, and for other good and valuable consideration the receipt and adequacy of which are hereby acknowledged, the Company and each Purchaser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AND SALE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Authorization of Sale of the Securities</w:t>
      </w:r>
      <w:r>
        <w:rPr>
          <w:rFonts w:ascii="Times New Roman" w:hAnsi="Times New Roman"/>
          <w:sz w:val="20"/>
        </w:rPr>
        <w:t xml:space="preserve">. The Company shall issue and sell each Purchaser, and each Purchaser shall, severally and not jointly, purchase from the Company, (i) such number of Shares set forth opposite their respective names on </w:t>
      </w:r>
      <w:r>
        <w:rPr>
          <w:rFonts w:ascii="Times New Roman" w:hAnsi="Times New Roman"/>
          <w:sz w:val="20"/>
          <w:u w:val="single"/>
        </w:rPr>
        <w:t>Schedule 1</w:t>
      </w:r>
      <w:r>
        <w:rPr>
          <w:rFonts w:ascii="Times New Roman" w:hAnsi="Times New Roman"/>
          <w:sz w:val="20"/>
        </w:rPr>
        <w:t xml:space="preserve"> hereto, at a price per share of Common Stock equal to $ 17.25 (the </w:t>
      </w:r>
      <w:r>
        <w:rPr>
          <w:rFonts w:ascii="Times New Roman" w:hAnsi="Times New Roman"/>
          <w:b/>
          <w:i/>
          <w:sz w:val="20"/>
        </w:rPr>
        <w:t>Price Per Share</w:t>
      </w:r>
      <w:r>
        <w:rPr>
          <w:rFonts w:ascii="Times New Roman" w:hAnsi="Times New Roman"/>
          <w:sz w:val="20"/>
        </w:rPr>
        <w:t> and the total purchase price for the Shares to be paid by each Purchaser, the </w:t>
      </w:r>
      <w:r>
        <w:rPr>
          <w:rFonts w:ascii="Times New Roman" w:hAnsi="Times New Roman"/>
          <w:b/>
          <w:i/>
          <w:sz w:val="20"/>
        </w:rPr>
        <w:t>Share Purchase Price</w:t>
      </w:r>
      <w:r>
        <w:rPr>
          <w:rFonts w:ascii="Times New Roman" w:hAnsi="Times New Roman"/>
          <w:sz w:val="20"/>
        </w:rPr>
        <w:t xml:space="preserve">), and (ii) such number of Pre-Funded Warrants set forth opposite their respective names on </w:t>
      </w:r>
      <w:r>
        <w:rPr>
          <w:rFonts w:ascii="Times New Roman" w:hAnsi="Times New Roman"/>
          <w:sz w:val="20"/>
          <w:u w:val="single"/>
        </w:rPr>
        <w:t>Schedule 1</w:t>
      </w:r>
      <w:r>
        <w:rPr>
          <w:rFonts w:ascii="Times New Roman" w:hAnsi="Times New Roman"/>
          <w:sz w:val="20"/>
        </w:rPr>
        <w:t xml:space="preserve"> hereto, at a purchase price per Pre-Funded Warrant equal to the Price Per Share minus $0.0001. Each Purchasers aggregate purchase price for the Securities purchased by such Purchaser hereunder is referred to as the </w:t>
      </w:r>
      <w:r>
        <w:rPr>
          <w:rFonts w:ascii="Times New Roman" w:hAnsi="Times New Roman"/>
          <w:b/>
          <w:i/>
          <w:sz w:val="20"/>
        </w:rPr>
        <w:t>Aggregate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Closing</w:t>
      </w:r>
      <w:r>
        <w:rPr>
          <w:rFonts w:ascii="Times New Roman" w:hAnsi="Times New Roman"/>
          <w:sz w:val="20"/>
        </w:rPr>
        <w:t>. Subject to the terms and conditions set forth in this Agreement, at the Closing, the Company shall issue and sell to the Purchasers, and the Purchasers shall purchase from the Company, the Securities. The closing of the purchase and sale of the Securities to the Purchasers by the Company (the </w:t>
      </w:r>
      <w:r>
        <w:rPr>
          <w:rFonts w:ascii="Times New Roman" w:hAnsi="Times New Roman"/>
          <w:b/>
          <w:i/>
          <w:sz w:val="20"/>
        </w:rPr>
        <w:t>Closing</w:t>
      </w:r>
      <w:r>
        <w:rPr>
          <w:rFonts w:ascii="Times New Roman" w:hAnsi="Times New Roman"/>
          <w:sz w:val="20"/>
        </w:rPr>
        <w:t xml:space="preserve">) will occur, subject to the conditions set forth in </w:t>
      </w:r>
      <w:r>
        <w:rPr>
          <w:rFonts w:ascii="Times New Roman" w:hAnsi="Times New Roman"/>
          <w:sz w:val="20"/>
          <w:u w:val="single"/>
        </w:rPr>
        <w:t>Article V</w:t>
      </w:r>
      <w:r>
        <w:rPr>
          <w:rFonts w:ascii="Times New Roman" w:hAnsi="Times New Roman"/>
          <w:sz w:val="20"/>
        </w:rPr>
        <w:t xml:space="preserve">, two business days following the satisfaction or waiver of the conditions set forth in </w:t>
      </w:r>
      <w:r>
        <w:rPr>
          <w:rFonts w:ascii="Times New Roman" w:hAnsi="Times New Roman"/>
          <w:sz w:val="20"/>
          <w:u w:val="single"/>
        </w:rPr>
        <w:t>Sections 5.1</w:t>
      </w:r>
      <w:r>
        <w:rPr>
          <w:rFonts w:ascii="Times New Roman" w:hAnsi="Times New Roman"/>
          <w:sz w:val="20"/>
        </w:rPr>
        <w:t xml:space="preserve"> and </w:t>
      </w:r>
      <w:r>
        <w:rPr>
          <w:rFonts w:ascii="Times New Roman" w:hAnsi="Times New Roman"/>
          <w:sz w:val="20"/>
          <w:u w:val="single"/>
        </w:rPr>
        <w:t>5.2</w:t>
      </w:r>
      <w:r>
        <w:rPr>
          <w:rFonts w:ascii="Times New Roman" w:hAnsi="Times New Roman"/>
          <w:sz w:val="20"/>
        </w:rPr>
        <w:t>, or at such other time and place or on such date as the Purchasers and the Company may agree upon (the </w:t>
      </w:r>
      <w:r>
        <w:rPr>
          <w:rFonts w:ascii="Times New Roman" w:hAnsi="Times New Roman"/>
          <w:b/>
          <w:i/>
          <w:sz w:val="20"/>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Payment</w:t>
      </w:r>
      <w:r>
        <w:rPr>
          <w:rFonts w:ascii="Times New Roman" w:hAnsi="Times New Roman"/>
          <w:sz w:val="20"/>
        </w:rPr>
        <w:t xml:space="preserve">. On the Closing Date, (a) each Purchaser shall pay to the Company its Aggregate Purchase Price in United States dollars and in immediately available funds, by wire transfer to the Companys account as set forth in instructions previously delivered to each Purchaser, and (b) the Company shall cause the Companys transfer agent to deliver to each Purchaser certificate(s) or book-entry shares (as requested by such Purchaser) evidencing the number of Shares set forth opposite such Purchasers name on </w:t>
      </w:r>
      <w:r>
        <w:rPr>
          <w:rFonts w:ascii="Times New Roman" w:hAnsi="Times New Roman"/>
          <w:sz w:val="20"/>
          <w:u w:val="single"/>
        </w:rPr>
        <w:t>Schedule 1</w:t>
      </w:r>
      <w:r>
        <w:rPr>
          <w:rFonts w:ascii="Times New Roman" w:hAnsi="Times New Roman"/>
          <w:sz w:val="20"/>
        </w:rPr>
        <w:t xml:space="preserve"> hereto, duly executed on behalf of the Company and registered in the name of such Purchaser as set forth on such Purchasers signature page hereto and will deliver to each Purchaser the applicable Pre-Funded Warrants set forth opposite such Purchasers name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Closing Deliverables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w:t>
      </w:r>
      <w:r>
        <w:rPr>
          <w:rFonts w:ascii="Times New Roman" w:hAnsi="Times New Roman"/>
          <w:sz w:val="20"/>
        </w:rPr>
        <w:t xml:space="preserve">. On or prior to the Closing Date, the Company shall deliver or cause to be delivered to each Purchaser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electronic copies of certificates or book-entry shares evidencing the number of Shares set forth opposite such Purchasers name on </w:t>
      </w:r>
      <w:r>
        <w:rPr>
          <w:rFonts w:ascii="Times New Roman" w:hAnsi="Times New Roman"/>
          <w:sz w:val="20"/>
          <w:u w:val="single"/>
        </w:rPr>
        <w:t>Schedule 1</w:t>
      </w:r>
      <w:r>
        <w:rPr>
          <w:rFonts w:ascii="Times New Roman" w:hAnsi="Times New Roman"/>
          <w:sz w:val="20"/>
        </w:rPr>
        <w:t xml:space="preserve"> hereto, registered in the name of such Purchaser as set forth on such Purchasers signature page hereto, with the original stock certificates (as applicable) delivered to such Purchaser or its designee (as directed by such Purchaser) within five Business Days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(ii) the Registration Rights Agreement, dated as of the Closing Date, among the Company and the Purchasers,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i/>
          <w:sz w:val="20"/>
        </w:rPr>
        <w:t>Registration Rights Agreement</w:t>
      </w:r>
      <w:r>
        <w:rPr>
          <w:rFonts w:ascii="Times New Roman" w:hAnsi="Times New Roman"/>
          <w:sz w:val="20"/>
        </w:rPr>
        <w:t> and together with this Agreement and the Pre-Funded Warrants the </w:t>
      </w:r>
      <w:r>
        <w:rPr>
          <w:rFonts w:ascii="Times New Roman" w:hAnsi="Times New Roman"/>
          <w:b/>
          <w:i/>
          <w:sz w:val="20"/>
        </w:rPr>
        <w:t>Transaction Documents</w:t>
      </w:r>
      <w:r>
        <w:rPr>
          <w:rFonts w:ascii="Times New Roman" w:hAnsi="Times New Roman"/>
          <w:sz w:val="20"/>
        </w:rPr>
        <w:t xml:space="preserve">), duly executed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electronic copies of the Pre-Funded Warrants, if applicable, executed by the Company and registered in the name of such Purchaser as set forth on </w:t>
      </w:r>
      <w:r>
        <w:rPr>
          <w:rFonts w:ascii="Times New Roman" w:hAnsi="Times New Roman"/>
          <w:sz w:val="20"/>
          <w:u w:val="single"/>
        </w:rPr>
        <w:t>Schedule 1</w:t>
      </w:r>
      <w:r>
        <w:rPr>
          <w:rFonts w:ascii="Times New Roman" w:hAnsi="Times New Roman"/>
          <w:sz w:val="20"/>
        </w:rPr>
        <w:t xml:space="preserve"> hereto, pursuant to which such Purchaser shall have the right to acquire such number of Warrant Shares set forth on </w:t>
      </w:r>
      <w:r>
        <w:rPr>
          <w:rFonts w:ascii="Times New Roman" w:hAnsi="Times New Roman"/>
          <w:sz w:val="20"/>
          <w:u w:val="single"/>
        </w:rPr>
        <w:t>Schedule 1</w:t>
      </w:r>
      <w:r>
        <w:rPr>
          <w:rFonts w:ascii="Times New Roman" w:hAnsi="Times New Roman"/>
          <w:sz w:val="20"/>
        </w:rPr>
        <w:t xml:space="preserve"> hereto, on the terms set forth therein, with the original Pre-Funded Warrants, delivered to such Purchaser or its designee (as directed by such Purchaser) within five Business Days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(iv) a legal opinion of Cooley LLP, legal counsel to the Company, in a form reasonably acceptable to the Purchasers; and </w:t>
      </w:r>
    </w:p>
    <w:p>
      <w:pPr>
        <w:pStyle w:val="TextBody"/>
        <w:bidi w:val="0"/>
        <w:spacing w:before="240" w:after="0"/>
        <w:jc w:val="left"/>
        <w:rPr>
          <w:rFonts w:ascii="Times New Roman" w:hAnsi="Times New Roman"/>
          <w:sz w:val="20"/>
        </w:rPr>
      </w:pPr>
      <w:r>
        <w:rPr>
          <w:rFonts w:ascii="Times New Roman" w:hAnsi="Times New Roman"/>
          <w:sz w:val="20"/>
        </w:rPr>
        <w:t xml:space="preserve">(v) the lock-up agreements, dated as of the date hereof, by and among the Company and the Companys directors and officers and their respective affiliates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i/>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Purchasers</w:t>
      </w:r>
      <w:r>
        <w:rPr>
          <w:rFonts w:ascii="Times New Roman" w:hAnsi="Times New Roman"/>
          <w:sz w:val="20"/>
        </w:rPr>
        <w:t xml:space="preserve">. On or prior to the Closing Date, each Purchaser shall deliver or cause to be delivered to the Company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Registration Rights Agreement, duly executed by each Purchaser; and </w:t>
      </w:r>
    </w:p>
    <w:p>
      <w:pPr>
        <w:pStyle w:val="TextBody"/>
        <w:bidi w:val="0"/>
        <w:spacing w:before="240" w:after="0"/>
        <w:jc w:val="left"/>
        <w:rPr>
          <w:rFonts w:ascii="Times New Roman" w:hAnsi="Times New Roman"/>
          <w:sz w:val="20"/>
        </w:rPr>
      </w:pPr>
      <w:r>
        <w:rPr>
          <w:rFonts w:ascii="Times New Roman" w:hAnsi="Times New Roman"/>
          <w:sz w:val="20"/>
        </w:rPr>
        <w:t xml:space="preserve">(ii) the Aggregate Purchase Price by wire transfer to the account specified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Beneficial Ownership Limitation</w:t>
      </w:r>
      <w:r>
        <w:rPr>
          <w:rFonts w:ascii="Times New Roman" w:hAnsi="Times New Roman"/>
          <w:sz w:val="20"/>
        </w:rPr>
        <w:t>. The Company shall not issue, and each Purchaser shall not purchase, any shares of Common Stock under this Agreement if such shares proposed to be issued and sold, when aggregated with all other shares of Common Stock then owned beneficially (as calculated pursuant to Section 13(d) of the Securities Exchange Act of 1934, as amended (the </w:t>
      </w:r>
      <w:r>
        <w:rPr>
          <w:rFonts w:ascii="Times New Roman" w:hAnsi="Times New Roman"/>
          <w:b/>
          <w:i/>
          <w:sz w:val="20"/>
        </w:rPr>
        <w:t>Exchange Act</w:t>
      </w:r>
      <w:r>
        <w:rPr>
          <w:rFonts w:ascii="Times New Roman" w:hAnsi="Times New Roman"/>
          <w:sz w:val="20"/>
        </w:rPr>
        <w:t xml:space="preserve">), and Rule 13d-3 promulgated thereunder) by such Purchaser and its affiliates would result in the beneficial ownership by such Purchaser and its affiliates of more than 9.99% of the then issued and outstanding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Subject to and except as set forth in the SEC Documents (as defined below) filed during the period commencing on January 1, 2023 and ending five Business Days prior to the date hereof (excluding any disclosures set forth under the headings Risk Factors, or disclosure of risks set forth in any forward-looking statements disclaimer, or disclosures in any other statements that are similarly cautionary or predictive in nature, the </w:t>
      </w:r>
      <w:r>
        <w:rPr>
          <w:rFonts w:ascii="Times New Roman" w:hAnsi="Times New Roman"/>
          <w:b/>
          <w:i/>
          <w:sz w:val="20"/>
        </w:rPr>
        <w:t>Recent SEC Disclosure</w:t>
      </w:r>
      <w:r>
        <w:rPr>
          <w:rFonts w:ascii="Times New Roman" w:hAnsi="Times New Roman"/>
          <w:sz w:val="20"/>
        </w:rPr>
        <w:t xml:space="preserve">) as expressly provided below; provided, for the avoidance of doubt, that no information in any of the Recent SEC Disclosure shall provide exceptions to, or otherwise qualify, any of the representations and warranties except to the extent expressly provided in such representations and warranties below, the Company hereby represents, warrants and covenants to each of the Purchasers as of the date hereof and of the Closing Date as follows: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Exchange Act Compliance</w:t>
      </w:r>
      <w:r>
        <w:rPr>
          <w:rFonts w:ascii="Times New Roman" w:hAnsi="Times New Roman"/>
          <w:sz w:val="20"/>
        </w:rPr>
        <w:t>. Since March 6, 2015, the Company has filed all reports, schedules, forms, statements and other documents required to be filed by it with the Securities and Exchange Commission (the </w:t>
      </w:r>
      <w:r>
        <w:rPr>
          <w:rFonts w:ascii="Times New Roman" w:hAnsi="Times New Roman"/>
          <w:b/>
          <w:i/>
          <w:sz w:val="20"/>
        </w:rPr>
        <w:t>Commission</w:t>
      </w:r>
      <w:r>
        <w:rPr>
          <w:rFonts w:ascii="Times New Roman" w:hAnsi="Times New Roman"/>
          <w:sz w:val="20"/>
        </w:rPr>
        <w:t>) pursuant to the reporting requirements of the Exchange Act (the </w:t>
      </w:r>
      <w:r>
        <w:rPr>
          <w:rFonts w:ascii="Times New Roman" w:hAnsi="Times New Roman"/>
          <w:b/>
          <w:i/>
          <w:sz w:val="20"/>
        </w:rPr>
        <w:t>SEC Documents</w:t>
      </w:r>
      <w:r>
        <w:rPr>
          <w:rFonts w:ascii="Times New Roman" w:hAnsi="Times New Roman"/>
          <w:sz w:val="20"/>
        </w:rPr>
        <w:t xml:space="preserve">) on a timely basis or has received a valid extension of such time of filing and has filed any such SEC Document prior to the expiration of any such extension. At the time they were filed with the Commission, the SEC Documents and any amendment or supplement thereto complied in all material respects with the requirements of the Exchange Act, and did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Disclosure Controls and Procedures; Deficiencies in or Changes to Internal Control Over Financial Reporting</w:t>
      </w:r>
      <w:r>
        <w:rPr>
          <w:rFonts w:ascii="Times New Roman" w:hAnsi="Times New Roman"/>
          <w:sz w:val="20"/>
        </w:rPr>
        <w:t xml:space="preserve">.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other than as otherwise disclosed in the Recent SEC Disclosure, are effective in all material respects to perform the functions for which they were established. Other than as otherwise disclosed in the Recent SEC Disclosure, since the end of the Companys most recent audited fiscal year, the Company is not aware of any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This Agreement</w:t>
      </w:r>
      <w:r>
        <w:rPr>
          <w:rFonts w:ascii="Times New Roman" w:hAnsi="Times New Roman"/>
          <w:sz w:val="20"/>
        </w:rPr>
        <w:t xml:space="preserve">. Each of this Agreement and the other Transaction Documents has been duly authorized, and this Agreement has been duly executed and delivered by the Company and constitutes the lawful, valid and legally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Upon the Closing, each of the Transaction Documents will be have duly executed and delivered by the Company and will constitute the lawful, valid and legally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Authorization of the Securities</w:t>
      </w:r>
      <w:r>
        <w:rPr>
          <w:rFonts w:ascii="Times New Roman" w:hAnsi="Times New Roman"/>
          <w:sz w:val="20"/>
        </w:rPr>
        <w:t xml:space="preserve">. The Securities have been duly authorized for issuance and sale pursuant to this Agreement and, when issued and delivered by the Company against payment therefor in accordance with the Transaction Documents, will be validly issued, fully paid and nonassessable, and the issuance and sale of the Securities is not subject to any preemptive rights, rights of first refusal or other similar rights to subscribe for or purchase the Securities and will not result in a right of any holder of the Companys securities to adjust the exercise, conversion, exchange or reset price under, and will not result in any other anti-dilution or other adjustments (automatic or otherwise) under, any securities of the Company. The Warrant Shares issuable upon exercise of the Pre-Funded Warrants have been duly authorized and, when issued and paid for in accordance with the terms of the Transaction Documents, will be duly and validly issued, fully paid and nonassessable, other than restrictions on transfer provided for in the Transaction Documents or imposed by applicable securities laws, and shall not be subject to preemptive rights, rights of first refusal or other similar rights and will not result in a right of any holder of the Companys securities to adjust the exercise, conversion, exchange or reset price under, and will not result in any other anti-dilution or other adjustments (automatic or otherwise) under, any securities of the Company. The Company has reserved from its duly authorized capital stock the maximum number of shares of Common Stock issuable pursuant to this Agreement and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Material Adverse Change</w:t>
      </w:r>
      <w:r>
        <w:rPr>
          <w:rFonts w:ascii="Times New Roman" w:hAnsi="Times New Roman"/>
          <w:sz w:val="20"/>
        </w:rPr>
        <w:t>. Since the date of the most recent financial statements of the Company included in the SEC Documents: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and the other Transaction Documents or perform its obligations hereunder and thereunder (any such change being referred to herein as a </w:t>
      </w:r>
      <w:r>
        <w:rPr>
          <w:rFonts w:ascii="Times New Roman" w:hAnsi="Times New Roman"/>
          <w:b/>
          <w:i/>
          <w:sz w:val="20"/>
        </w:rPr>
        <w:t>Material Adverse Change</w:t>
      </w:r>
      <w:r>
        <w:rPr>
          <w:rFonts w:ascii="Times New Roman" w:hAnsi="Times New Roman"/>
          <w:sz w:val="20"/>
        </w:rPr>
        <w:t xml:space="preserve">);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Independent Accountants</w:t>
      </w:r>
      <w:r>
        <w:rPr>
          <w:rFonts w:ascii="Times New Roman" w:hAnsi="Times New Roman"/>
          <w:sz w:val="20"/>
        </w:rPr>
        <w:t>. The independent registered public accounting firms which have expressed their opinions with respect to the financial statements (which term as used in this Agreement includes the related notes thereto) filed with the Commission are (i) independent public or certified public accountants as required by the Securities Act and the Exchange Act, (ii) in compliance with the applicable requirements relating to the qualification of accountants under Rule 2-01 of Regulation S-X; and (iii) registered public accounting firms as defined by the Public Company Accounting Oversight Board (the </w:t>
      </w:r>
      <w:r>
        <w:rPr>
          <w:rFonts w:ascii="Times New Roman" w:hAnsi="Times New Roman"/>
          <w:b/>
          <w:i/>
          <w:sz w:val="20"/>
        </w:rPr>
        <w:t>PCAOB</w:t>
      </w:r>
      <w:r>
        <w:rPr>
          <w:rFonts w:ascii="Times New Roman" w:hAnsi="Times New Roman"/>
          <w:sz w:val="20"/>
        </w:rPr>
        <w:t xml:space="preserve">) whose registration has not been suspended or revoked and who has not requested such registration to be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Financial Statements</w:t>
      </w:r>
      <w:r>
        <w:rPr>
          <w:rFonts w:ascii="Times New Roman" w:hAnsi="Times New Roman"/>
          <w:sz w:val="20"/>
        </w:rPr>
        <w:t xml:space="preserve">. The financial statements filed with the Commission included in the SEC Documents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in the SEC Documents fairly presents the information called for in all material respects and has been prepared in accordance with the Commissions rules and guidelines applicable thereto.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SEC Documents.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Companys Accounting System</w:t>
      </w:r>
      <w:r>
        <w:rPr>
          <w:rFonts w:ascii="Times New Roman" w:hAnsi="Times New Roman"/>
          <w:sz w:val="20"/>
        </w:rPr>
        <w:t xml:space="preserve">.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in the SEC Documents fairly presents the information called for in all material respects and is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Incorporation and Good Standing of the Company</w:t>
      </w:r>
      <w:r>
        <w:rPr>
          <w:rFonts w:ascii="Times New Roman" w:hAnsi="Times New Roman"/>
          <w:i/>
          <w:sz w:val="20"/>
        </w:rPr>
        <w:t>.</w:t>
      </w:r>
      <w:r>
        <w:rPr>
          <w:rFonts w:ascii="Times New Roman" w:hAnsi="Times New Roman"/>
          <w:sz w:val="20"/>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SEC Documents and to enter into and perform its obligations under this Agreement and the other Transaction Documents.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so qualify or to be in good standing, individually or in the aggregate, would not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Subsidiaries</w:t>
      </w:r>
      <w:r>
        <w:rPr>
          <w:rFonts w:ascii="Times New Roman" w:hAnsi="Times New Roman"/>
          <w:sz w:val="20"/>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SEC Documents in all material respects.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other than a lien in favor of Hercules Capital, Inc., as collateral agent (in such capacity, the </w:t>
      </w:r>
      <w:r>
        <w:rPr>
          <w:rFonts w:ascii="Times New Roman" w:hAnsi="Times New Roman"/>
          <w:b/>
          <w:i/>
          <w:sz w:val="20"/>
        </w:rPr>
        <w:t>Collateral Agent</w:t>
      </w:r>
      <w:r>
        <w:rPr>
          <w:rFonts w:ascii="Times New Roman" w:hAnsi="Times New Roman"/>
          <w:sz w:val="20"/>
        </w:rPr>
        <w:t xml:space="preserve">) for the Lenders pursuant to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 defined in that certain Loan and Security Agreement dated as of November 1, 2022 (as amended, supplemented or otherwise modified from time to time, the </w:t>
      </w:r>
      <w:r>
        <w:rPr>
          <w:rFonts w:ascii="Times New Roman" w:hAnsi="Times New Roman"/>
          <w:b/>
          <w:i/>
          <w:sz w:val="20"/>
        </w:rPr>
        <w:t>Hercules Loan Agreement</w:t>
      </w:r>
      <w:r>
        <w:rPr>
          <w:rFonts w:ascii="Times New Roman" w:hAnsi="Times New Roman"/>
          <w:sz w:val="20"/>
        </w:rPr>
        <w:t xml:space="preserve">), by and among the Company, its subsidiaries, the Collateral Agent and the Lenders from time to time party thereto.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have any significant subsidiary as defined in Rule 1-02(w)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Capitalization and Other Capital Stock Matters</w:t>
      </w:r>
      <w:r>
        <w:rPr>
          <w:rFonts w:ascii="Times New Roman" w:hAnsi="Times New Roman"/>
          <w:sz w:val="20"/>
        </w:rPr>
        <w:t xml:space="preserve">. The authorized, issued and outstanding capital stock of the Company is as set forth in the Recent SEC Disclosure (other than for subsequent issuances, if any, pursuant to employee benefit plans described in the Recent SEC Disclosure or upon the exercise of outstanding options or warrants, in each case described in the Recent SEC Disclosure). The shares of Common Stock (including the Shares and the Warrant Shares) conform in all material respects to the description thereof contained in the Recent SEC Disclosure. All of the issued and outstanding shares of Common Stock have been duly authorized and validly issued, are fully paid and nonassessable and have been issued in compliance with all federal and state securities laws. None of the outstanding shares of Common Stock was issued in violation of any preemptive rights, rights of first refusal or other similar rights to subscribe for or purchase securities of the Company that have not been duly waived or satisfied.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Recent SEC Disclosure. The descriptions of the Companys stock option, stock bonus and other stock plans or arrangements, and the options or other rights granted thereunder, set forth in the Recent SEC Disclosure accurately and fairly presents, in all material respects, the information required to be shown with respect to such plans, arrangements, options and rights. The Company does not have outstanding stockholder purchase rights or a poison pill or any similar arrangement in effect giving any Person the right to purchase any equity interest in the Company upon the occurrence of certain events.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Stock Exchange Listing</w:t>
      </w:r>
      <w:r>
        <w:rPr>
          <w:rFonts w:ascii="Times New Roman" w:hAnsi="Times New Roman"/>
          <w:sz w:val="20"/>
        </w:rPr>
        <w:t>. The shares of Common Stock are registered pursuant to Section 12(b) or 12(g) of the Exchange Act and are listed on the Nasdaq Global Select Market (</w:t>
      </w:r>
      <w:r>
        <w:rPr>
          <w:rFonts w:ascii="Times New Roman" w:hAnsi="Times New Roman"/>
          <w:b/>
          <w:i/>
          <w:sz w:val="20"/>
        </w:rPr>
        <w:t>Nasdaq</w:t>
      </w:r>
      <w:r>
        <w:rPr>
          <w:rFonts w:ascii="Times New Roman" w:hAnsi="Times New Roman"/>
          <w:sz w:val="20"/>
        </w:rPr>
        <w:t xml:space="preserve">),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To the Companys knowledge, it is in compliance with all applicable listing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Non-Contravention of Existing Instruments; No Further Authorizations or Approvals Required</w:t>
      </w:r>
      <w:r>
        <w:rPr>
          <w:rFonts w:ascii="Times New Roman" w:hAnsi="Times New Roman"/>
          <w:sz w:val="20"/>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hAnsi="Times New Roman"/>
          <w:b/>
          <w:i/>
          <w:sz w:val="20"/>
        </w:rPr>
        <w:t>Default</w:t>
      </w:r>
      <w:r>
        <w:rPr>
          <w:rFonts w:ascii="Times New Roman" w:hAnsi="Times New Roman"/>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hAnsi="Times New Roman"/>
          <w:b/>
          <w:i/>
          <w:sz w:val="20"/>
        </w:rPr>
        <w:t>Existing Instrument</w:t>
      </w:r>
      <w:r>
        <w:rPr>
          <w:rFonts w:ascii="Times New Roman" w:hAnsi="Times New Roman"/>
          <w:sz w:val="20"/>
        </w:rPr>
        <w:t xml:space="preserve">), except for such Defaults as would not reasonably be expected, individually or in the aggregate, to result in a Material Adverse Change. The Companys execution, delivery and performance of this Agreement and the other Transaction Documents, consummation of the transactions contemplated hereby and thereby and the issuance and sale of the Securities (i) have been duly authorized by all necessary corporate action and will not result in any violation of the provisions of the charter or by-laws, partnership agreement or operating agreement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No further consent or authorization of the Company or its board of directors or stockholders is required. No consent, approval, authorization or other order of, or registration or filing with, any court or other governmental or regulatory authority or agency, or any other Person is required for the Companys execution, delivery and performance of this Agreement and the other Transaction Documents and consummation of the transactions contemplated hereby and thereby , except such as may be required under applicable state securities or blue sky laws, or such as have been obtained or made by the Company and are in full force and effect under the Securities Act and such filings with the Commission as are expressly contemplated by the Registration Rights Agreement. As used herein, a </w:t>
      </w:r>
      <w:r>
        <w:rPr>
          <w:rFonts w:ascii="Times New Roman" w:hAnsi="Times New Roman"/>
          <w:b/>
          <w:i/>
          <w:sz w:val="20"/>
        </w:rPr>
        <w:t>Debt Repayment Triggering Event</w:t>
      </w:r>
      <w:r>
        <w:rPr>
          <w:rFonts w:ascii="Times New Roman" w:hAnsi="Times New Roman"/>
          <w:sz w:val="20"/>
        </w:rPr>
        <w:t xml:space="preserve">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No Material Actions or Proceedings</w:t>
      </w:r>
      <w:r>
        <w:rPr>
          <w:rFonts w:ascii="Times New Roman" w:hAnsi="Times New Roman"/>
          <w:sz w:val="20"/>
        </w:rPr>
        <w:t xml:space="preserve">. Except as otherwise disclosed in the Recent SEC Disclosure, there is no action, suit, proceeding, inquiry or 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Intellectual Property Rights</w:t>
      </w:r>
      <w:r>
        <w:rPr>
          <w:rFonts w:ascii="Times New Roman" w:hAnsi="Times New Roman"/>
          <w:sz w:val="20"/>
        </w:rPr>
        <w:t>. Except as otherwise disclosed in the Recent SEC Disclosure, the Company and its subsidiaries own, or have obtained valid and enforceable licenses for, the inventions, patent applications, patents, trademarks, trade names, service names, copyrights, trade secrets and other intellectual property described in the SEC Documents as being owned or licensed by them or which are necessary for the conduct of their respective businesses as currently conducted or as currently proposed to be conducted (collectively, </w:t>
      </w:r>
      <w:r>
        <w:rPr>
          <w:rFonts w:ascii="Times New Roman" w:hAnsi="Times New Roman"/>
          <w:b/>
          <w:i/>
          <w:sz w:val="20"/>
        </w:rPr>
        <w:t>Intellectual Property</w:t>
      </w:r>
      <w:r>
        <w:rPr>
          <w:rFonts w:ascii="Times New Roman" w:hAnsi="Times New Roman"/>
          <w:sz w:val="20"/>
        </w:rPr>
        <w:t xml:space="preserve">) and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(a) for customary reversionary rights of third-party licensors with respect to Intellectual Property that is disclosed in the Recent SEC Disclosure as licensed to the Company or one or more of its subsidiaries, and (b) a security interest in favor of the Collateral Agent pursuant to the Hercules Loan Agreement to the proceeds from the sale, licensing or other disposition of the Intellectual Property;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SEC Documents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The product candidates described in the SEC Documents as under development by the Company or any subsidiary fall within the scope of the claims of one or more patents owned by, or exclusively licensed to,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All Necessary Permits, etc</w:t>
      </w:r>
      <w:r>
        <w:rPr>
          <w:rFonts w:ascii="Times New Roman" w:hAnsi="Times New Roman"/>
          <w:sz w:val="20"/>
        </w:rPr>
        <w:t>. The Company and each subsidiary possess such valid and current certificates, authorizations, approvals, clearances, licenses, registrations, exemptions, or permits required by state, federal or foreign regulatory agencies or bodies to conduct, in all material respects, their respective businesses as currently conducted and as described in the SEC Documents (collectively, </w:t>
      </w:r>
      <w:r>
        <w:rPr>
          <w:rFonts w:ascii="Times New Roman" w:hAnsi="Times New Roman"/>
          <w:b/>
          <w:i/>
          <w:sz w:val="20"/>
        </w:rPr>
        <w:t>Permits</w:t>
      </w:r>
      <w:r>
        <w:rPr>
          <w:rFonts w:ascii="Times New Roman" w:hAnsi="Times New Roman"/>
          <w:sz w:val="20"/>
        </w:rPr>
        <w:t xml:space="preserve">). Neither the Company nor any of its subsidiaries is in violation of, or in default under, any Permit or has received any notice of proceedings relating to the revocation or modification of, or non-compliance with, any such Permit. The Company and its subsidiaries have fulfilled and performed all of their material obligations with respect to such Permits, and no event has occurred which allows, or after notice or lapse of time would allow, revocation or termination thereof or results in any other material impairment of the rights of the holder of any such Permit. </w:t>
      </w:r>
    </w:p>
    <w:p>
      <w:pPr>
        <w:pStyle w:val="TextBody"/>
        <w:bidi w:val="0"/>
        <w:spacing w:before="240" w:after="0"/>
        <w:jc w:val="left"/>
        <w:rPr>
          <w:rFonts w:ascii="Times New Roman" w:hAnsi="Times New Roman"/>
          <w:sz w:val="20"/>
        </w:rPr>
      </w:pPr>
      <w:r>
        <w:rPr>
          <w:rFonts w:ascii="Times New Roman" w:hAnsi="Times New Roman"/>
          <w:sz w:val="20"/>
        </w:rPr>
        <w:t xml:space="preserve">2.17 </w:t>
      </w:r>
      <w:r>
        <w:rPr>
          <w:rFonts w:ascii="Times New Roman" w:hAnsi="Times New Roman"/>
          <w:sz w:val="20"/>
          <w:u w:val="single"/>
        </w:rPr>
        <w:t>Title to Properties</w:t>
      </w:r>
      <w:r>
        <w:rPr>
          <w:rFonts w:ascii="Times New Roman" w:hAnsi="Times New Roman"/>
          <w:sz w:val="20"/>
        </w:rPr>
        <w:t xml:space="preserve">. Except as otherwise disclosed in the Recent SEC Disclosure, the Company and its subsidiaries has good and marketable title to all of the real and personal property and other assets reflected as owned in the financial statements referred to in </w:t>
      </w:r>
      <w:r>
        <w:rPr>
          <w:rFonts w:ascii="Times New Roman" w:hAnsi="Times New Roman"/>
          <w:sz w:val="20"/>
          <w:u w:val="single"/>
        </w:rPr>
        <w:t>Section 2.7</w:t>
      </w:r>
      <w:r>
        <w:rPr>
          <w:rFonts w:ascii="Times New Roman" w:hAnsi="Times New Roman"/>
          <w:sz w:val="20"/>
        </w:rPr>
        <w:t xml:space="preserve"> above,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2.18 </w:t>
      </w:r>
      <w:r>
        <w:rPr>
          <w:rFonts w:ascii="Times New Roman" w:hAnsi="Times New Roman"/>
          <w:sz w:val="20"/>
          <w:u w:val="single"/>
        </w:rPr>
        <w:t>Tax Law Compliance</w:t>
      </w:r>
      <w:r>
        <w:rPr>
          <w:rFonts w:ascii="Times New Roman" w:hAnsi="Times New Roman"/>
          <w:sz w:val="20"/>
        </w:rPr>
        <w:t xml:space="preserv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w:t>
      </w:r>
      <w:r>
        <w:rPr>
          <w:rFonts w:ascii="Times New Roman" w:hAnsi="Times New Roman"/>
          <w:sz w:val="20"/>
          <w:u w:val="single"/>
        </w:rPr>
        <w:t>Section 2.7</w:t>
      </w:r>
      <w:r>
        <w:rPr>
          <w:rFonts w:ascii="Times New Roman" w:hAnsi="Times New Roman"/>
          <w:sz w:val="20"/>
        </w:rPr>
        <w:t xml:space="preserve"> above in respect of all federal, state and foreign income and franchise taxes for all periods as to which the tax liability of the Company or any of its subsidiaries has not been finally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2.19 </w:t>
      </w:r>
      <w:r>
        <w:rPr>
          <w:rFonts w:ascii="Times New Roman" w:hAnsi="Times New Roman"/>
          <w:sz w:val="20"/>
          <w:u w:val="single"/>
        </w:rPr>
        <w:t>Company Not an Investment Company.</w:t>
      </w:r>
      <w:r>
        <w:rPr>
          <w:rFonts w:ascii="Times New Roman" w:hAnsi="Times New Roman"/>
          <w:sz w:val="20"/>
        </w:rPr>
        <w:t xml:space="preserve"> The Company is not, and will not be, after receipt of payment for the Securities, required to register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2.20 </w:t>
      </w:r>
      <w:r>
        <w:rPr>
          <w:rFonts w:ascii="Times New Roman" w:hAnsi="Times New Roman"/>
          <w:sz w:val="20"/>
          <w:u w:val="single"/>
        </w:rPr>
        <w:t>Insurance</w:t>
      </w:r>
      <w:r>
        <w:rPr>
          <w:rFonts w:ascii="Times New Roman" w:hAnsi="Times New Roman"/>
          <w:sz w:val="20"/>
        </w:rPr>
        <w:t xml:space="preserve">.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 </w:t>
      </w:r>
    </w:p>
    <w:p>
      <w:pPr>
        <w:pStyle w:val="TextBody"/>
        <w:bidi w:val="0"/>
        <w:spacing w:before="24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No Price Stabilization or Manipulation; Compliance with Regulation M</w:t>
      </w:r>
      <w:r>
        <w:rPr>
          <w:rFonts w:ascii="Times New Roman" w:hAnsi="Times New Roman"/>
          <w:sz w:val="20"/>
        </w:rPr>
        <w:t>. Neither the Company nor any of its subsidiaries has taken, directly or indirectly, any action designed to or that would reasonably be expected to cause or result in stabilization or manipulation of the price of the Common Stock or of any reference security (as defined in Rule 100 of Regulation M under the Exchange Act (</w:t>
      </w:r>
      <w:r>
        <w:rPr>
          <w:rFonts w:ascii="Times New Roman" w:hAnsi="Times New Roman"/>
          <w:b/>
          <w:sz w:val="20"/>
        </w:rPr>
        <w:t></w:t>
      </w:r>
      <w:r>
        <w:rPr>
          <w:rFonts w:ascii="Times New Roman" w:hAnsi="Times New Roman"/>
          <w:b/>
          <w:i/>
          <w:sz w:val="20"/>
        </w:rPr>
        <w:t>Regulation M</w:t>
      </w:r>
      <w:r>
        <w:rPr>
          <w:rFonts w:ascii="Times New Roman" w:hAnsi="Times New Roman"/>
          <w:b/>
          <w:sz w:val="20"/>
        </w:rPr>
        <w:t></w:t>
      </w:r>
      <w:r>
        <w:rPr>
          <w:rFonts w:ascii="Times New Roman" w:hAnsi="Times New Roman"/>
          <w:sz w:val="20"/>
        </w:rPr>
        <w:t xml:space="preserve">)) with respect to the Common Stock, whether to facilitate the sale or resale of the Securities or otherwise, and has taken no action which would directly or indirectly violate Regulation M. </w:t>
      </w:r>
    </w:p>
    <w:p>
      <w:pPr>
        <w:pStyle w:val="TextBody"/>
        <w:bidi w:val="0"/>
        <w:spacing w:before="24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Related Party Transactions</w:t>
      </w:r>
      <w:r>
        <w:rPr>
          <w:rFonts w:ascii="Times New Roman" w:hAnsi="Times New Roman"/>
          <w:sz w:val="20"/>
        </w:rPr>
        <w:t xml:space="preserve">. There are no business relationships or related-party transactions involving the Company or any of its subsidiaries or any other person required to be described in the SEC Documents which have not been described as required. </w:t>
      </w:r>
    </w:p>
    <w:p>
      <w:pPr>
        <w:pStyle w:val="TextBody"/>
        <w:bidi w:val="0"/>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No Unlawful Contributions or Other Payments</w:t>
      </w:r>
      <w:r>
        <w:rPr>
          <w:rFonts w:ascii="Times New Roman" w:hAnsi="Times New Roman"/>
          <w:sz w:val="20"/>
        </w:rPr>
        <w:t xml:space="preserve">. Except as otherwise disclosed in the Recent SEC Disclosure,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SEC Documents. </w:t>
      </w:r>
    </w:p>
    <w:p>
      <w:pPr>
        <w:pStyle w:val="TextBody"/>
        <w:bidi w:val="0"/>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Compliance with Environmental Laws</w:t>
      </w:r>
      <w:r>
        <w:rPr>
          <w:rFonts w:ascii="Times New Roman" w:hAnsi="Times New Roman"/>
          <w:sz w:val="20"/>
        </w:rPr>
        <w:t>. Except as described in the Recent SEC Disclosure and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b/>
          <w:i/>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i/>
          <w:sz w:val="20"/>
        </w:rPr>
        <w:t>Environmental Laws</w:t>
      </w:r>
      <w:r>
        <w:rPr>
          <w:rFonts w:ascii="Times New Roman" w:hAnsi="Times New Roman"/>
          <w:sz w:val="20"/>
        </w:rPr>
        <w:t xml:space="preserve">),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2.25 </w:t>
      </w:r>
      <w:r>
        <w:rPr>
          <w:rFonts w:ascii="Times New Roman" w:hAnsi="Times New Roman"/>
          <w:sz w:val="20"/>
          <w:u w:val="single"/>
        </w:rPr>
        <w:t>ERISA Compliance</w:t>
      </w:r>
      <w:r>
        <w:rPr>
          <w:rFonts w:ascii="Times New Roman" w:hAnsi="Times New Roman"/>
          <w:sz w:val="20"/>
        </w:rPr>
        <w:t>. Except as otherwise disclosed in the Recent SEC Disclosure, 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b/>
          <w:i/>
          <w:sz w:val="20"/>
        </w:rPr>
        <w:t>ERISA</w:t>
      </w:r>
      <w:r>
        <w:rPr>
          <w:rFonts w:ascii="Times New Roman" w:hAnsi="Times New Roman"/>
          <w:sz w:val="20"/>
        </w:rPr>
        <w:t>)) established or maintained by the Company, its subsidiaries or their ERISA Affiliates (as defined below) are in compliance in all material respects with ERISA. </w:t>
      </w:r>
      <w:r>
        <w:rPr>
          <w:rFonts w:ascii="Times New Roman" w:hAnsi="Times New Roman"/>
          <w:b/>
          <w:i/>
          <w:sz w:val="20"/>
        </w:rPr>
        <w:t>ERISA Affiliate</w:t>
      </w:r>
      <w:r>
        <w:rPr>
          <w:rFonts w:ascii="Times New Roman" w:hAnsi="Times New Roman"/>
          <w:sz w:val="20"/>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b/>
          <w:i/>
          <w:sz w:val="20"/>
        </w:rPr>
        <w:t>Code</w:t>
      </w:r>
      <w:r>
        <w:rPr>
          <w:rFonts w:ascii="Times New Roman" w:hAnsi="Times New Roman"/>
          <w:sz w:val="20"/>
        </w:rPr>
        <w:t xml:space="preserve">)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2.26 </w:t>
      </w:r>
      <w:r>
        <w:rPr>
          <w:rFonts w:ascii="Times New Roman" w:hAnsi="Times New Roman"/>
          <w:sz w:val="20"/>
          <w:u w:val="single"/>
        </w:rPr>
        <w:t>Brokers</w:t>
      </w:r>
      <w:r>
        <w:rPr>
          <w:rFonts w:ascii="Times New Roman" w:hAnsi="Times New Roman"/>
          <w:sz w:val="20"/>
        </w:rPr>
        <w:t>. Other than any fees to be paid to Leerink Partners LLC (the </w:t>
      </w:r>
      <w:r>
        <w:rPr>
          <w:rFonts w:ascii="Times New Roman" w:hAnsi="Times New Roman"/>
          <w:b/>
          <w:i/>
          <w:sz w:val="20"/>
        </w:rPr>
        <w:t>Placement Agent</w:t>
      </w:r>
      <w:r>
        <w:rPr>
          <w:rFonts w:ascii="Times New Roman" w:hAnsi="Times New Roman"/>
          <w:sz w:val="20"/>
        </w:rPr>
        <w:t xml:space="preserve">), there are no broker, finder or other party that is entitled to receive from the Company any brokerage or finders fee or other fee or commission as a result of any transactions contemplated by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2.27 </w:t>
      </w:r>
      <w:r>
        <w:rPr>
          <w:rFonts w:ascii="Times New Roman" w:hAnsi="Times New Roman"/>
          <w:sz w:val="20"/>
          <w:u w:val="single"/>
        </w:rPr>
        <w:t>No Outstanding Loans or Other Extensions of Credit</w:t>
      </w:r>
      <w:r>
        <w:rPr>
          <w:rFonts w:ascii="Times New Roman" w:hAnsi="Times New Roman"/>
          <w:sz w:val="20"/>
        </w:rPr>
        <w:t xml:space="preserve">. The Company does not have any outstanding extension of credit, in the form of a personal loan, to or for any director or executive officer (or equivalent thereof) of the Company except for such extensions of credit as are expressly permitted by Section 13(k)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2.28 </w:t>
      </w:r>
      <w:r>
        <w:rPr>
          <w:rFonts w:ascii="Times New Roman" w:hAnsi="Times New Roman"/>
          <w:sz w:val="20"/>
          <w:u w:val="single"/>
        </w:rPr>
        <w:t>Compliance with Laws</w:t>
      </w:r>
      <w:r>
        <w:rPr>
          <w:rFonts w:ascii="Times New Roman" w:hAnsi="Times New Roman"/>
          <w:sz w:val="20"/>
        </w:rPr>
        <w:t xml:space="preserve">. The Company and its subsidiaries have been and are in compliance with all applicable laws, rules and regulations, except where failure to be so in compliance could not be expected, individually or in the aggregate,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2.29 </w:t>
      </w:r>
      <w:r>
        <w:rPr>
          <w:rFonts w:ascii="Times New Roman" w:hAnsi="Times New Roman"/>
          <w:sz w:val="20"/>
          <w:u w:val="single"/>
        </w:rPr>
        <w:t>Dividend Restrictions</w:t>
      </w:r>
      <w:r>
        <w:rPr>
          <w:rFonts w:ascii="Times New Roman" w:hAnsi="Times New Roman"/>
          <w:sz w:val="20"/>
        </w:rPr>
        <w:t xml:space="preserve">. Except as disclosed in the Recent SEC Disclosure,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 </w:t>
      </w:r>
    </w:p>
    <w:p>
      <w:pPr>
        <w:pStyle w:val="TextBody"/>
        <w:bidi w:val="0"/>
        <w:spacing w:before="240" w:after="0"/>
        <w:jc w:val="left"/>
        <w:rPr>
          <w:rFonts w:ascii="Times New Roman" w:hAnsi="Times New Roman"/>
          <w:sz w:val="20"/>
        </w:rPr>
      </w:pPr>
      <w:r>
        <w:rPr>
          <w:rFonts w:ascii="Times New Roman" w:hAnsi="Times New Roman"/>
          <w:sz w:val="20"/>
        </w:rPr>
        <w:t xml:space="preserve">2.30 </w:t>
      </w:r>
      <w:r>
        <w:rPr>
          <w:rFonts w:ascii="Times New Roman" w:hAnsi="Times New Roman"/>
          <w:sz w:val="20"/>
          <w:u w:val="single"/>
        </w:rPr>
        <w:t>Anti-Corruption and Anti-Bribery Laws</w:t>
      </w:r>
      <w:r>
        <w:rPr>
          <w:rFonts w:ascii="Times New Roman" w:hAnsi="Times New Roman"/>
          <w:sz w:val="20"/>
        </w:rPr>
        <w:t xml:space="preserve">.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hAnsi="Times New Roman"/>
          <w:b/>
          <w:i/>
          <w:sz w:val="20"/>
        </w:rPr>
        <w:t>FCPA</w:t>
      </w:r>
      <w:r>
        <w:rPr>
          <w:rFonts w:ascii="Times New Roman" w:hAnsi="Times New Roman"/>
          <w:sz w:val="20"/>
        </w:rPr>
        <w:t xml:space="preserve">),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2.31 </w:t>
      </w:r>
      <w:r>
        <w:rPr>
          <w:rFonts w:ascii="Times New Roman" w:hAnsi="Times New Roman"/>
          <w:sz w:val="20"/>
          <w:u w:val="single"/>
        </w:rPr>
        <w:t>Money Laundering Laws</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hAnsi="Times New Roman"/>
          <w:b/>
          <w:i/>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2.32 </w:t>
      </w:r>
      <w:r>
        <w:rPr>
          <w:rFonts w:ascii="Times New Roman" w:hAnsi="Times New Roman"/>
          <w:sz w:val="20"/>
          <w:u w:val="single"/>
        </w:rPr>
        <w:t>Clinical Data and Regulatory Compliance</w:t>
      </w:r>
      <w:r>
        <w:rPr>
          <w:rFonts w:ascii="Times New Roman" w:hAnsi="Times New Roman"/>
          <w:sz w:val="20"/>
        </w:rPr>
        <w:t>. The preclinical tests and clinical trials, and other studies (collectively, studies) that are described in, or the results of which are referred to in, the SEC Documents were and, if still pending, are being conducted in all material respects in accordance with all applicable laws and regulations, including, without limitation, the Federal Food, Drug and Cosmetic Act and its implementing regulations at 21 C.F.R. Parts 50, 54, 56, 58, and 312,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SEC Documents; the Company and its subsidiaries have made all such filings and obtained all such approvals or exemptions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 w:hAnsi="Times New Roman"/>
          <w:b/>
          <w:i/>
          <w:sz w:val="20"/>
        </w:rPr>
        <w:t>Regulatory Agencies</w:t>
      </w:r>
      <w:r>
        <w:rPr>
          <w:rFonts w:ascii="Times New Roman" w:hAnsi="Times New Roman"/>
          <w:sz w:val="20"/>
        </w:rPr>
        <w:t xml:space="preserve">); neither the Company nor any of its subsidiaries has received any notice of, or correspondence from, any Regulatory Agency requiring the termination, suspension or modification of any clinical trials that are described or referred to in the SEC Documents; and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2.33 </w:t>
      </w:r>
      <w:r>
        <w:rPr>
          <w:rFonts w:ascii="Times New Roman" w:hAnsi="Times New Roman"/>
          <w:sz w:val="20"/>
          <w:u w:val="single"/>
        </w:rPr>
        <w:t>Sanctions.</w:t>
      </w:r>
      <w:r>
        <w:rPr>
          <w:rFonts w:ascii="Times New Roman" w:hAnsi="Times New Roman"/>
          <w:sz w:val="20"/>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or the U.S. Department of State, the United Nations Security Council, the European Union, His Majestys Treasury of the United Kingdom, or other relevant sanctions authority (collectively, </w:t>
      </w:r>
      <w:r>
        <w:rPr>
          <w:rFonts w:ascii="Times New Roman" w:hAnsi="Times New Roman"/>
          <w:b/>
          <w:i/>
          <w:sz w:val="20"/>
        </w:rPr>
        <w:t>Sanctions</w:t>
      </w:r>
      <w:r>
        <w:rPr>
          <w:rFonts w:ascii="Times New Roman" w:hAnsi="Times New Roman"/>
          <w:sz w:val="20"/>
        </w:rPr>
        <w:t>); nor is the Company or any of its subsidiaries located, organized or resident in a country or territory that is the subject or the target of Sanctions, including, without limitation, the Crimea region and the Donetsk Peoples Republic and Luhansk Peoples Republic in Ukraine, Cuba, Iran, North Korea, and Syria (collectively, </w:t>
      </w:r>
      <w:r>
        <w:rPr>
          <w:rFonts w:ascii="Times New Roman" w:hAnsi="Times New Roman"/>
          <w:b/>
          <w:i/>
          <w:sz w:val="20"/>
        </w:rPr>
        <w:t>Sanctioned Countries</w:t>
      </w:r>
      <w:r>
        <w:rPr>
          <w:rFonts w:ascii="Times New Roman" w:hAnsi="Times New Roman"/>
          <w:sz w:val="20"/>
        </w:rPr>
        <w:t xml:space="preserve">);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2.34 </w:t>
      </w:r>
      <w:r>
        <w:rPr>
          <w:rFonts w:ascii="Times New Roman" w:hAnsi="Times New Roman"/>
          <w:sz w:val="20"/>
          <w:u w:val="single"/>
        </w:rPr>
        <w:t>Sarbanes-Oxley</w:t>
      </w:r>
      <w:r>
        <w:rPr>
          <w:rFonts w:ascii="Times New Roman" w:hAnsi="Times New Roman"/>
          <w:sz w:val="20"/>
        </w:rPr>
        <w:t xml:space="preserve">. The Company is in compliance, in all material respects, with all applicable provisions of the Sarbanes-Oxley Act of 2002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2.35 </w:t>
      </w:r>
      <w:r>
        <w:rPr>
          <w:rFonts w:ascii="Times New Roman" w:hAnsi="Times New Roman"/>
          <w:sz w:val="20"/>
          <w:u w:val="single"/>
        </w:rPr>
        <w:t>Duties, Transfer Taxes, Etc</w:t>
      </w:r>
      <w:r>
        <w:rPr>
          <w:rFonts w:ascii="Times New Roman" w:hAnsi="Times New Roman"/>
          <w:sz w:val="20"/>
        </w:rPr>
        <w:t xml:space="preserve">.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2.36 </w:t>
      </w:r>
      <w:r>
        <w:rPr>
          <w:rFonts w:ascii="Times New Roman" w:hAnsi="Times New Roman"/>
          <w:sz w:val="20"/>
          <w:u w:val="single"/>
        </w:rPr>
        <w:t>Cybersecurity</w:t>
      </w:r>
      <w:r>
        <w:rPr>
          <w:rFonts w:ascii="Times New Roman" w:hAnsi="Times New Roman"/>
          <w:sz w:val="20"/>
        </w:rPr>
        <w:t>. The Companys and its subsidiaries information technology assets and equipment, computers, systems, networks, hardware, software, websites, applications, and databases (collectively, </w:t>
      </w:r>
      <w:r>
        <w:rPr>
          <w:rFonts w:ascii="Times New Roman" w:hAnsi="Times New Roman"/>
          <w:b/>
          <w:i/>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to the knowledge of the Company,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hAnsi="Times New Roman"/>
          <w:b/>
          <w:i/>
          <w:sz w:val="20"/>
        </w:rPr>
        <w:t>Personal Data</w:t>
      </w:r>
      <w:r>
        <w:rPr>
          <w:rFonts w:ascii="Times New Roman" w:hAnsi="Times New Roman"/>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i/>
          <w:sz w:val="20"/>
        </w:rPr>
        <w:t>HIPAA</w:t>
      </w:r>
      <w:r>
        <w:rPr>
          <w:rFonts w:ascii="Times New Roman" w:hAnsi="Times New Roman"/>
          <w:b/>
          <w:sz w:val="20"/>
        </w:rPr>
        <w:t></w:t>
      </w:r>
      <w:r>
        <w:rPr>
          <w:rFonts w:ascii="Times New Roman" w:hAnsi="Times New Roman"/>
          <w:sz w:val="20"/>
        </w:rPr>
        <w:t xml:space="preserve">); and (v) any other piece of information that allows the identification of such natural person, or his or her family, or permits the collection or analysis of any data related to an identified persons health or sexual orientation.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2.37 </w:t>
      </w:r>
      <w:r>
        <w:rPr>
          <w:rFonts w:ascii="Times New Roman" w:hAnsi="Times New Roman"/>
          <w:sz w:val="20"/>
          <w:u w:val="single"/>
        </w:rPr>
        <w:t>Compliance with Privacy Laws</w:t>
      </w:r>
      <w:r>
        <w:rPr>
          <w:rFonts w:ascii="Times New Roman" w:hAnsi="Times New Roman"/>
          <w:sz w:val="20"/>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if and to the extent applicable, the European Union General Data Protection Regulation (</w:t>
      </w:r>
      <w:r>
        <w:rPr>
          <w:rFonts w:ascii="Times New Roman" w:hAnsi="Times New Roman"/>
          <w:b/>
          <w:i/>
          <w:sz w:val="20"/>
        </w:rPr>
        <w:t>GDPR</w:t>
      </w:r>
      <w:r>
        <w:rPr>
          <w:rFonts w:ascii="Times New Roman" w:hAnsi="Times New Roman"/>
          <w:sz w:val="20"/>
        </w:rPr>
        <w:t>) (EU 2016/679) in all material respects (collectively, the </w:t>
      </w:r>
      <w:r>
        <w:rPr>
          <w:rFonts w:ascii="Times New Roman" w:hAnsi="Times New Roman"/>
          <w:b/>
          <w:i/>
          <w:sz w:val="20"/>
        </w:rPr>
        <w:t>Privacy Laws</w:t>
      </w:r>
      <w:r>
        <w:rPr>
          <w:rFonts w:ascii="Times New Roman" w:hAnsi="Times New Roman"/>
          <w:sz w:val="20"/>
        </w:rPr>
        <w:t xml:space="preserve">) To ensure compliance with the Privacy Laws, the Company and its subsidiaries have in place,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b/>
          <w:i/>
          <w:sz w:val="20"/>
        </w:rPr>
        <w:t>Policies</w:t>
      </w:r>
      <w:r>
        <w:rPr>
          <w:rFonts w:ascii="Times New Roman" w:hAnsi="Times New Roman"/>
          <w:sz w:val="20"/>
        </w:rPr>
        <w:t xml:space="preserve">).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by any governmental or regulatory authority under any Privacy Law. </w:t>
      </w:r>
    </w:p>
    <w:p>
      <w:pPr>
        <w:pStyle w:val="TextBody"/>
        <w:bidi w:val="0"/>
        <w:spacing w:before="240" w:after="0"/>
        <w:jc w:val="left"/>
        <w:rPr>
          <w:rFonts w:ascii="Times New Roman" w:hAnsi="Times New Roman"/>
          <w:sz w:val="20"/>
        </w:rPr>
      </w:pPr>
      <w:r>
        <w:rPr>
          <w:rFonts w:ascii="Times New Roman" w:hAnsi="Times New Roman"/>
          <w:sz w:val="20"/>
        </w:rPr>
        <w:t xml:space="preserve">2.38 </w:t>
      </w:r>
      <w:r>
        <w:rPr>
          <w:rFonts w:ascii="Times New Roman" w:hAnsi="Times New Roman"/>
          <w:sz w:val="20"/>
          <w:u w:val="single"/>
        </w:rPr>
        <w:t>Compliance with Health Care Laws</w:t>
      </w:r>
      <w:r>
        <w:rPr>
          <w:rFonts w:ascii="Times New Roman" w:hAnsi="Times New Roman"/>
          <w:sz w:val="20"/>
        </w:rPr>
        <w:t>. The Company and its subsidiaries are, and at all times have been, in compliance with all Health Care Laws. For purposes of this Agreement, </w:t>
      </w:r>
      <w:r>
        <w:rPr>
          <w:rFonts w:ascii="Times New Roman" w:hAnsi="Times New Roman"/>
          <w:b/>
          <w:i/>
          <w:sz w:val="20"/>
        </w:rPr>
        <w:t>Health Care Laws</w:t>
      </w:r>
      <w:r>
        <w:rPr>
          <w:rFonts w:ascii="Times New Roman" w:hAnsi="Times New Roman"/>
          <w:sz w:val="20"/>
        </w:rPr>
        <w:t xml:space="preserve"> means: (i) the Federal Food, Drug, and Cosmetic Act (21 U.S.C. Section 301 et seq.), the Public Health Service Act (42 U.S.C. Section 201 et seq.), and the regulations promulgated thereunder; (ii) all applicable federal and state health care fraud and abuse laws, including, without limitation, the federal Anti-Kickback Statute (42 U.S.C. Section 1320a-7b(b)), the federal Civil False Claims Act (31 U.S.C. Section 3729 et seq.), the criminal false statements law (42 U.S.C. Section 1320a-7b(a)), 18 U.S.C. Sections 286 and 287, the health care fraud criminal provisions under HIPAA (42 U.S.C. Section 1320d et seq.), the civil monetary penalties law (42 U.S.C. Section 1320a-7a), the exclusion law (42 U.S.C. Section 1320a-7), the Physician Payments Sunshine Act (42 U.S.C. Section 1320-7h), and the rules and regulations promulgated thereunder by the Food and Drug Administration; (iii) HIPAA, as amended by the Health Information Technology for Economic and Clinical Health Act (42 U.S.C. Section 17921 et seq.); (iv) licensure, quality, safety and accreditation requirements under applicable federal, state, local or foreign laws or regulatory bodies; and (v) all other local, state, federal, national, supranational and foreign laws, relating to the regulation of the Company or its subsidiaries, and (vi)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related to any Health Care Laws.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related to a violation of Health Care Laws. Additionally, neither the Company, any of its subsidiaries nor, to its knowledge,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2.39 </w:t>
      </w:r>
      <w:r>
        <w:rPr>
          <w:rFonts w:ascii="Times New Roman" w:hAnsi="Times New Roman"/>
          <w:sz w:val="20"/>
          <w:u w:val="single"/>
        </w:rPr>
        <w:t>Private Placement</w:t>
      </w:r>
      <w:r>
        <w:rPr>
          <w:rFonts w:ascii="Times New Roman" w:hAnsi="Times New Roman"/>
          <w:sz w:val="20"/>
        </w:rPr>
        <w:t xml:space="preserve">. Assuming the accuracy of the Purchasers representations and warranties set forth in Article III, no registration under the Securities Act is required for the offer and sale of the Securities by the Company to the Purchasers as contemplated hereby. The issuance and sale of the Securities hereunder does not contravene, or require stockholder approval under, the rules and regulations of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2.40 </w:t>
      </w:r>
      <w:r>
        <w:rPr>
          <w:rFonts w:ascii="Times New Roman" w:hAnsi="Times New Roman"/>
          <w:sz w:val="20"/>
          <w:u w:val="single"/>
        </w:rPr>
        <w:t>No General Solicitation; No Integrated Offering</w:t>
      </w:r>
      <w:r>
        <w:rPr>
          <w:rFonts w:ascii="Times New Roman" w:hAnsi="Times New Roman"/>
          <w:sz w:val="20"/>
        </w:rPr>
        <w:t xml:space="preserve">. Neither the Company nor any Person acting on its behalf has conducted any general solicitation or general advertising (as those terms are used in Regulation D) in connection with the offer or sale of any of the Securities. Assuming the accuracy of the Purchasers representations and warranties set forth in Article III hereof, neither the Company, nor any of its affiliates, nor any Person acting on its or their behalf has, directly or indirectly, made (or will make) any offers or sales of any security or solicited (or will solicit)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Nasdaq. </w:t>
      </w:r>
    </w:p>
    <w:p>
      <w:pPr>
        <w:pStyle w:val="TextBody"/>
        <w:bidi w:val="0"/>
        <w:spacing w:before="240" w:after="0"/>
        <w:jc w:val="left"/>
        <w:rPr>
          <w:rFonts w:ascii="Times New Roman" w:hAnsi="Times New Roman"/>
          <w:sz w:val="20"/>
        </w:rPr>
      </w:pPr>
      <w:r>
        <w:rPr>
          <w:rFonts w:ascii="Times New Roman" w:hAnsi="Times New Roman"/>
          <w:sz w:val="20"/>
        </w:rPr>
        <w:t xml:space="preserve">2.41 </w:t>
      </w:r>
      <w:r>
        <w:rPr>
          <w:rFonts w:ascii="Times New Roman" w:hAnsi="Times New Roman"/>
          <w:sz w:val="20"/>
          <w:u w:val="single"/>
        </w:rPr>
        <w:t>Registration Rights</w:t>
      </w:r>
      <w:r>
        <w:rPr>
          <w:rFonts w:ascii="Times New Roman" w:hAnsi="Times New Roman"/>
          <w:sz w:val="20"/>
        </w:rPr>
        <w:t>. Except as disclosed in the Recent SEC Disclosure and other than the Purchasers, no Person has any right to cause the Company or any of its subsidiaries to effect the registration under the Securities Act of any securities of the Company or any of its subsidiaries.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2.42 </w:t>
      </w:r>
      <w:r>
        <w:rPr>
          <w:rFonts w:ascii="Times New Roman" w:hAnsi="Times New Roman"/>
          <w:sz w:val="20"/>
          <w:u w:val="single"/>
        </w:rPr>
        <w:t>Acknowledgment Regarding Purchasers Trading Activity</w:t>
      </w:r>
      <w:r>
        <w:rPr>
          <w:rFonts w:ascii="Times New Roman" w:hAnsi="Times New Roman"/>
          <w:sz w:val="20"/>
        </w:rPr>
        <w:t>. Anything in this Agreement or elsewhere herein to the contrary notwithstanding, it is understood and acknowledged by the Company that: (i)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 any Purchaser, and counter-parties in derivative transactions to which any such Purchaser is a party, directly or indirectly, presently may have a short position in the Common Stock and (iii)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2.43 </w:t>
      </w:r>
      <w:r>
        <w:rPr>
          <w:rFonts w:ascii="Times New Roman" w:hAnsi="Times New Roman"/>
          <w:sz w:val="20"/>
          <w:u w:val="single"/>
        </w:rPr>
        <w:t>Form S-3 Eligibility</w:t>
      </w:r>
      <w:r>
        <w:rPr>
          <w:rFonts w:ascii="Times New Roman" w:hAnsi="Times New Roman"/>
          <w:sz w:val="20"/>
        </w:rPr>
        <w:t xml:space="preserve">. The Company is eligible to register the resale of the Shares and Warrant Shares for resale by the Purchasers on Form S-3 promulgated under the Securities Act. The Company is not an Ineligible Issuer (as defined in Rule 405 under the Securities Act), without taking account of any determination by the Commission pursuant to Rule 405 that it is not necessary that the Company be considered an Ineligible Issuer, and is not a shell company (as defined in Rule 12b-2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2.44 </w:t>
      </w:r>
      <w:r>
        <w:rPr>
          <w:rFonts w:ascii="Times New Roman" w:hAnsi="Times New Roman"/>
          <w:sz w:val="20"/>
          <w:u w:val="single"/>
        </w:rPr>
        <w:t>No Disqualification Events</w:t>
      </w:r>
      <w:r>
        <w:rPr>
          <w:rFonts w:ascii="Times New Roman" w:hAnsi="Times New Roman"/>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 to (viii) under the Securities Act (a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2.45 </w:t>
      </w:r>
      <w:r>
        <w:rPr>
          <w:rFonts w:ascii="Times New Roman" w:hAnsi="Times New Roman"/>
          <w:sz w:val="20"/>
          <w:u w:val="single"/>
        </w:rPr>
        <w:t>Other Covered Persons</w:t>
      </w:r>
      <w:r>
        <w:rPr>
          <w:rFonts w:ascii="Times New Roman" w:hAnsi="Times New Roman"/>
          <w:sz w:val="20"/>
        </w:rPr>
        <w:t>. The Company is not aware of any person (other than any Issuer Covered Person) that has been or will be paid (directly or indirectly) remuneration for solicitation of purchasers in connection with the sale of any Securities.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2.46 </w:t>
      </w:r>
      <w:r>
        <w:rPr>
          <w:rFonts w:ascii="Times New Roman" w:hAnsi="Times New Roman"/>
          <w:sz w:val="20"/>
          <w:u w:val="single"/>
        </w:rPr>
        <w:t>Notice of Disqualification Events</w:t>
      </w:r>
      <w:r>
        <w:rPr>
          <w:rFonts w:ascii="Times New Roman" w:hAnsi="Times New Roman"/>
          <w:sz w:val="20"/>
        </w:rPr>
        <w:t xml:space="preserve">. The Company will notify the Purchaser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 </w:t>
      </w:r>
    </w:p>
    <w:p>
      <w:pPr>
        <w:pStyle w:val="TextBody"/>
        <w:bidi w:val="0"/>
        <w:spacing w:before="240" w:after="0"/>
        <w:jc w:val="left"/>
        <w:rPr>
          <w:rFonts w:ascii="Times New Roman" w:hAnsi="Times New Roman"/>
          <w:sz w:val="20"/>
        </w:rPr>
      </w:pPr>
      <w:r>
        <w:rPr>
          <w:rFonts w:ascii="Times New Roman" w:hAnsi="Times New Roman"/>
          <w:sz w:val="20"/>
        </w:rPr>
        <w:t xml:space="preserve">2.47 </w:t>
      </w:r>
      <w:r>
        <w:rPr>
          <w:rFonts w:ascii="Times New Roman" w:hAnsi="Times New Roman"/>
          <w:sz w:val="20"/>
          <w:u w:val="single"/>
        </w:rPr>
        <w:t>Application of Takeover Protections</w:t>
      </w:r>
      <w:r>
        <w:rPr>
          <w:rFonts w:ascii="Times New Roman" w:hAnsi="Times New Roman"/>
          <w:sz w:val="20"/>
        </w:rPr>
        <w:t>. The Company and the Board of Directors (or a duly authorized committee thereof) have taken all necessary action, if any, in order to render inapplicable any control share acquisition, business combination (as defined in the Delaware General Corporation Law (</w:t>
      </w:r>
      <w:r>
        <w:rPr>
          <w:rFonts w:ascii="Times New Roman" w:hAnsi="Times New Roman"/>
          <w:b/>
          <w:i/>
          <w:sz w:val="20"/>
        </w:rPr>
        <w:t>DGCL</w:t>
      </w:r>
      <w:r>
        <w:rPr>
          <w:rFonts w:ascii="Times New Roman" w:hAnsi="Times New Roman"/>
          <w:sz w:val="20"/>
        </w:rPr>
        <w:t xml:space="preserve">)), poison pill (including any distribution under a rights agreement) or other similar anti-takeover provision under the Certificate of Incorporation or the laws of the state of its incorporation, including under Section 203 of the DGCL, which is or could become applicable to the Purchasers as a result of the transactions contemplated by this Agreement, including, without limitation, the Companys issuance of the Securities under the Transaction Documents and the Purchasers ownership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2.48 </w:t>
      </w:r>
      <w:r>
        <w:rPr>
          <w:rFonts w:ascii="Times New Roman" w:hAnsi="Times New Roman"/>
          <w:sz w:val="20"/>
          <w:u w:val="single"/>
        </w:rPr>
        <w:t>Arms Length Purchasers</w:t>
      </w:r>
      <w:r>
        <w:rPr>
          <w:rFonts w:ascii="Times New Roman" w:hAnsi="Times New Roman"/>
          <w:sz w:val="20"/>
        </w:rPr>
        <w:t xml:space="preserve">. The Company acknowledges and agrees that each of the Purchasers is acting solely in the capacity of an arms-length purchaser with respect to the Transaction Documents and the transactions contemplated hereby and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WARRANTIES AND COVENANTS OF PURCHASERS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severally not jointly, for itself and for no other Purchaser, hereby represents, warrants and covenants to the Company and the Placement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Authorization and Power</w:t>
      </w:r>
      <w:r>
        <w:rPr>
          <w:rFonts w:ascii="Times New Roman" w:hAnsi="Times New Roman"/>
          <w:sz w:val="20"/>
        </w:rPr>
        <w:t xml:space="preserve">. Such Purchaser has the requisite power and authority to enter into and perform the Transaction Documents and to purchase the Securities being sold to it hereunder. The execution, delivery and performance of this Agreement by such Purchaser and the consummation by it of the transactions contemplated hereby have been duly authorized by all necessary corporate action, and no further consent or authorization of such Purchaser or its board of directors, stockholders or other governing body is required. When executed and delivered by such Purchaser, this Agreement shall constitute a valid and binding obligation of such Purchaser, enforceable against such Purchaser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No Conflict</w:t>
      </w:r>
      <w:r>
        <w:rPr>
          <w:rFonts w:ascii="Times New Roman" w:hAnsi="Times New Roman"/>
          <w:sz w:val="20"/>
        </w:rPr>
        <w:t xml:space="preserve">. The execution, delivery and performance of the Transaction Documents by such Purchaser and the consummation by such Purchaser of the transactions contemplated hereby do not and will not (i) violate any provision of such Purchasers charter or organizational documents, (ii) conflict with, or constitute a default (or an event which with notice or lapse of time or both would become a default) under, or give to others any rights of termination, amendment, acceleration or cancellation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mortgage, deed of trust, indenture, note, bond, license, lease agreement, instrument or obligation to which such Purchaser is a party or by which such Purchasers properties or assets are bound, or (iii) result in a violation of any federal, state, local or foreign statute, rule, regulation, order, judgment or decree (including federal and state securities laws and regulations) applicable to such Purchaser or by which any property or asset of such Purchaser are bound or affected.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Purchaser Sophistication; Accredited Investor</w:t>
      </w:r>
      <w:r>
        <w:rPr>
          <w:rFonts w:ascii="Times New Roman" w:hAnsi="Times New Roman"/>
          <w:sz w:val="20"/>
        </w:rPr>
        <w:t xml:space="preserve">. At the time such Purchaser was offered the Securities, as of the date hereof, such Purchaser (a) is knowledgeable, sophisticated and experienced in making, and is qualified to make decisions with respect to, investments in shares presenting an investment decision like that involved in the purchase of the Securities, including investments in securities issued by the Company and investments in comparable companies, and has requested, received, reviewed and considered all information it deemed relevant in making an informed decision to purchase the Securities; (b) in connection with its decision to purchase the Securities, relied only upon the SEC Documents, other publicly available information, the representations and warranties of the Company contained herein and other information conveyed by the Company or its agents or representatives in connection herewith; (c) is an accredited investor pursuant to Rule 501 of Regulation D under the Securities Act; (d) is acquiring the Securities for its own account as principal and with no present intention of distributing any of the Securities or any arrangement or understanding with any other persons regarding the distribution of the Securities in violation of the Securities Act, without prejudice, however, to such Purchasers right at all times to sell or otherwise; (e) has not been organized, reorganized or recapitalized specifically for the purpose of investing in the Securities; (f) will not, directly or indirectly, offer, sell, pledge, transfer or otherwise dispose of (or solicit any offers to buy, purchase or otherwise acquire to take a pledge of) any of the Securities except pursuant to registration under, or pursuant to valid exemptions from the registration requirements of, the Securities Act and applicable state securities laws; (g) understands that the Securities are being offered and sold to it in reliance upon specific exemptions from the registration requirements of the Securities Act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 (h) understands that its investment in the Securities involves a significant degree of risk, including a risk of total loss of such Purchasers investment (provided that such acknowledgment in no way diminishes the representations, warranties and covenants made by the Company hereunder); and (i) understands that no United States federal or state agency or any other government or governmental agency has passed upon or made any recommendation or endorsement of the Securities. Nothing contained herein, shall be deemed a representation or warranty by such Purchaser to hold any the Securities for any minimum or other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Restricted Securities</w:t>
      </w:r>
      <w:r>
        <w:rPr>
          <w:rFonts w:ascii="Times New Roman" w:hAnsi="Times New Roman"/>
          <w:sz w:val="20"/>
        </w:rPr>
        <w:t>. Such Purchaser acknowledges that the Securities are restricted securities and must be held indefinitely unless subsequently registered under the Securities Act or sold, transferred or otherwise disposed of pursuant to Rule 144 promulgated under the Securities Act (</w:t>
      </w:r>
      <w:r>
        <w:rPr>
          <w:rFonts w:ascii="Times New Roman" w:hAnsi="Times New Roman"/>
          <w:b/>
          <w:i/>
          <w:sz w:val="20"/>
        </w:rPr>
        <w:t>Rule 144</w:t>
      </w:r>
      <w:r>
        <w:rPr>
          <w:rFonts w:ascii="Times New Roman" w:hAnsi="Times New Roman"/>
          <w:sz w:val="20"/>
        </w:rPr>
        <w:t xml:space="preserve">) or other exemptions from such registration requirements, provided that (if the Company is not selling the Securities pursuant to Rule 144) the Company receives an opinion of counsel reasonably satisfactory to the Company that such registration is not required. Such Purchaser is aware of the provisions of Rule 144 which provide a safe harbor for the limited resale of stock purchased in a private placement subject to the satisfaction of certain conditions (if applicable), including, among other things, the existence of a public market for the stock, the availability of certain current public information about the Company, the resale occurring after certain holding periods have been met, the sale being conducted through a brokers transaction or a transaction directly with a market maker and the number of shares of the stock being sold during any three-month period not exceeding specified limitations (in each case, only to the extent applicable to sales of Securities by such Purchaser). Such Purchaser further acknowledges and understands that the Company may not be satisfying the current public information requirement of Rule 144 (to the extent applicable) at the time such Purchaser wishes to sell the Shares and, if so, such Purchaser may be precluded from selling the Shares under Rule 144 even if the required holding period has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Residency</w:t>
      </w:r>
      <w:r>
        <w:rPr>
          <w:rFonts w:ascii="Times New Roman" w:hAnsi="Times New Roman"/>
          <w:sz w:val="20"/>
        </w:rPr>
        <w:t xml:space="preserve">. Such Purchaser is a resident of or an entity organized under the jurisdiction specified below its address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Ownership of Capital Stock</w:t>
      </w:r>
      <w:r>
        <w:rPr>
          <w:rFonts w:ascii="Times New Roman" w:hAnsi="Times New Roman"/>
          <w:sz w:val="20"/>
        </w:rPr>
        <w:t xml:space="preserve">. Except as previously disclosed to the Company in writing or by email and excluding the Shares, such Purchaser and its affiliates beneficially own no shares of capital stock of the Company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Stock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Purchaser acknowledges that certificates evidencing the Securities shall bear a restrictive legend in substantially the following form (and including related stock transfer instructions and record notations): </w:t>
      </w:r>
    </w:p>
    <w:p>
      <w:pPr>
        <w:pStyle w:val="TextBody"/>
        <w:bidi w:val="0"/>
        <w:spacing w:before="120" w:after="0"/>
        <w:jc w:val="left"/>
        <w:rPr>
          <w:rFonts w:ascii="Times New Roman" w:hAnsi="Times New Roman"/>
          <w:sz w:val="20"/>
        </w:rPr>
      </w:pPr>
      <w:r>
        <w:rPr>
          <w:rFonts w:ascii="Times New Roman" w:hAnsi="Times New Roman"/>
          <w:sz w:val="20"/>
        </w:rPr>
        <w:t xml:space="preserve">THESE SECURITIES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OR BLUE SKY LAWS. </w:t>
      </w:r>
    </w:p>
    <w:p>
      <w:pPr>
        <w:pStyle w:val="TextBody"/>
        <w:bidi w:val="0"/>
        <w:spacing w:before="240" w:after="0"/>
        <w:jc w:val="left"/>
        <w:rPr>
          <w:rFonts w:ascii="Times New Roman" w:hAnsi="Times New Roman"/>
          <w:sz w:val="20"/>
        </w:rPr>
      </w:pPr>
      <w:r>
        <w:rPr>
          <w:rFonts w:ascii="Times New Roman" w:hAnsi="Times New Roman"/>
          <w:sz w:val="20"/>
        </w:rPr>
        <w:t>(b) The Company shall, at its sole expense, upon appropriate notice from any Purchaser stating that Registrable Securities (as defined in the Registration Rights Agreement) have been sold pursuant to an effective registration statement naming the Purchasers as selling securityholders (the </w:t>
      </w:r>
      <w:r>
        <w:rPr>
          <w:rFonts w:ascii="Times New Roman" w:hAnsi="Times New Roman"/>
          <w:b/>
          <w:i/>
          <w:sz w:val="20"/>
        </w:rPr>
        <w:t>Resale Registration Statement</w:t>
      </w:r>
      <w:r>
        <w:rPr>
          <w:rFonts w:ascii="Times New Roman" w:hAnsi="Times New Roman"/>
          <w:sz w:val="20"/>
        </w:rPr>
        <w:t>), timely prepare and deliver certificates or book-entry shares representing the Securities to be delivered to a transferee pursuant to the Resale Registration Statement, which certificates or book-entry shares shall be free of any restrictive legends and in such denominations and registered in such names as such Purchaser may request. Further, the Company shall, at its sole expense, cause its legal counsel or other counsel satisfactory to the Companys transfer agent: (i) while the Resale Registration Statement is effective, to issue to the Companys transfer agent a blanket legal opinion to allow sales without restriction pursuant to the effective Resale Registration Statement, and (ii) provide all other opinions as may reasonably be required by the Companys transfer agent in connection with the removal of legends. A Purchaser may request that the Company remove, and the Company agrees to cause the removal of, any legend from such Securities, no later than the earlier of three (3) Trading Days and the Standard Settlement Period (the </w:t>
      </w:r>
      <w:r>
        <w:rPr>
          <w:rFonts w:ascii="Times New Roman" w:hAnsi="Times New Roman"/>
          <w:b/>
          <w:i/>
          <w:sz w:val="20"/>
        </w:rPr>
        <w:t>Unlegended</w:t>
      </w:r>
      <w:r>
        <w:rPr>
          <w:rFonts w:ascii="Times New Roman" w:hAnsi="Times New Roman"/>
          <w:sz w:val="20"/>
        </w:rPr>
        <w:t xml:space="preserve"> </w:t>
      </w:r>
      <w:r>
        <w:rPr>
          <w:rFonts w:ascii="Times New Roman" w:hAnsi="Times New Roman"/>
          <w:b/>
          <w:i/>
          <w:sz w:val="20"/>
        </w:rPr>
        <w:t>Share Delivery Date</w:t>
      </w:r>
      <w:r>
        <w:rPr>
          <w:rFonts w:ascii="Times New Roman" w:hAnsi="Times New Roman"/>
          <w:sz w:val="20"/>
        </w:rPr>
        <w:t>) following the delivery by a Purchaser to the Company or the Companys transfer agent of a legended certificate representing such Securities (or a request for legend removal, in the case of Securities issued in book-entry form): (i) following any sale of such Securities pursuant to Rule 144, (ii) if such Securities are eligible for sale under Rule 144(b)(1), (iii) following the time that the Resale Registration Statement is declared effective, (iv) if at any time on or after the date hereof such Purchaser certifies that it is not an affiliate of the Company (as such term is used under Rule 144) and that such Purchasers holding period for purposes of Rule 144 is at least six (6) months, or (v) if such legend is not required under applicable requirements of the Securities Act (including judicial interpretations and pronouncements issued by the staff of the SEC) (collectively, the </w:t>
      </w:r>
      <w:r>
        <w:rPr>
          <w:rFonts w:ascii="Times New Roman" w:hAnsi="Times New Roman"/>
          <w:b/>
          <w:i/>
          <w:sz w:val="20"/>
        </w:rPr>
        <w:t>Unrestricted Conditions</w:t>
      </w:r>
      <w:r>
        <w:rPr>
          <w:rFonts w:ascii="Times New Roman" w:hAnsi="Times New Roman"/>
          <w:sz w:val="20"/>
        </w:rPr>
        <w:t xml:space="preserve">). If all or any portion of a Pre-Funded Warrant is exercised at a time when there is an effective registration statement to cover the resale of the Warrant Shares, or if such Warrant Shares may be sold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under Rule 144 and the Company is then in compliance with the current public information required under Rule 144 (assuming cashless exercise of the Pre-Funded Warrants), or if such or Warrant Shares may be sold under Rule 144 without the requirement for the Company to be in compliance with the current public information required under Rule 144 as to such Shares or Warrant Shares or if any of the other Unrestricted Conditions is satisfied in respect of such Warrant Shares, then such Warrant Shares shall be issued free of all legends. Certificates for Securities free from all restrictive legends shall be transmitted by the Companys transfer agent to the Purchasers by crediting the account of the Purchasers prime broker with the Depository Trust Company (</w:t>
      </w:r>
      <w:r>
        <w:rPr>
          <w:rFonts w:ascii="Times New Roman" w:hAnsi="Times New Roman"/>
          <w:b/>
          <w:i/>
          <w:sz w:val="20"/>
        </w:rPr>
        <w:t>DTC</w:t>
      </w:r>
      <w:r>
        <w:rPr>
          <w:rFonts w:ascii="Times New Roman" w:hAnsi="Times New Roman"/>
          <w:sz w:val="20"/>
        </w:rPr>
        <w:t>) through the Deposit/Withdrawal at Custodian (DWAC) system, if and as directed by such Purchaser. The Company warrants that the Securities shall otherwise be freely transferable on the books and records of the Company as and to the extent provided in this Agreement. If a Purchaser effects a transfer of the Securities in accordance with the Section 3.7(b), the Company shall permit the transfer and shall promptly instruct its transfer agent to issue one or more certificates or credit shares to the applicable balance accounts at DTC in such name and in such denominations as specified by such Purchaser to effect such transfer. If the Company shall fail to issue to any Purchaser (other than a failure caused by incorrect, incomplete or untimely information provided by the Purchaser to the Company or its transfer agent), by the applicable Unlegended Share Delivery Date, a certificate representing such shares of Common Stock without legend or to issue such shares to such Purchaser without legend through DWAC to the applicable balance account at DTC, as applicable, and after the Unlegended Share Delivery Date such Purchaser is required by its brokerage firm to purchase (in an open market transaction or otherwise) or such Purchaser or such Purchasers brokerage firm otherwise purchases shares of Common Stock to deliver in satisfaction of a sale by such Purchaser of the shares which such Purchaser anticipated receiving without legend (a </w:t>
      </w:r>
      <w:r>
        <w:rPr>
          <w:rFonts w:ascii="Times New Roman" w:hAnsi="Times New Roman"/>
          <w:b/>
          <w:i/>
          <w:sz w:val="20"/>
        </w:rPr>
        <w:t>Buy-In</w:t>
      </w:r>
      <w:r>
        <w:rPr>
          <w:rFonts w:ascii="Times New Roman" w:hAnsi="Times New Roman"/>
          <w:sz w:val="20"/>
        </w:rPr>
        <w:t xml:space="preserve">), then the Company shall pay in cash to such Purchaser the amount by which (if any) (X) such Purchasers total purchase price (including brokerage commissions, if any) for the shares of Common Stock so purchased in the Buy-In exceeds (Y) the amount obtained by multiplying (I) the number of shares of Common Stock that the Company was required to deliver without legend to such Purchaser on the Unlegended Share Delivery Date multiplied by (II) the price at which the sell order giving rise to such purchase obligation was executed. Nothing herein shall limit any Purchasers right to pursue any other remedies available to it hereunder or under the Registration Rights Agreement, or otherwise at law or in equity, including a decree of specific performance and/or injunctive relief, with respect to the Companys failure to timely deliver shares of Common Stock without legend as required pursuant to the terms hereof. Each Purchaser, severally and not jointly with the other Purchasers, agrees with the Company that such Purchaser will only sell Securities pursuant to either the registration requirements of the Securities Act, including any applicable prospectus delivery requirements, or an exemption therefrom, and that if Securities are sold pursuant to the Resale Registration Statement, they will be sold in compliance with the plan of distribution set forth therein, and acknowledges that the removal of the restrictive legend from certificates representing Securities as set forth in this Section 3.7(b) is predicated upon the Companys reliance upon this understanding. For purposes hereof, Standard Settlement Period means the standard settlement period for equity trades effected by U.S. broker-dealers, expressed in a number of Trading Days, as in effect on the applicable date. Notwithstanding the foregoing, the Companys obligations to cause the removal of legends from the Securities is subject to the Companys receipt of a certificate executed by the applicable Purchaser certifying compliance with Rule 144 or satisfaction of any of the other Unrestricted Conditions, in a form reasonably acceptable to the Company and the Purchaser.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No Legal, Tax or Investment Advice</w:t>
      </w:r>
      <w:r>
        <w:rPr>
          <w:rFonts w:ascii="Times New Roman" w:hAnsi="Times New Roman"/>
          <w:sz w:val="20"/>
        </w:rPr>
        <w:t xml:space="preserve">. Such Purchaser understands that nothing in this Agreement or any other materials presented by or on behalf of the Company to such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No General Solicitation; Pre-Existing Relationship</w:t>
      </w:r>
      <w:r>
        <w:rPr>
          <w:rFonts w:ascii="Times New Roman" w:hAnsi="Times New Roman"/>
          <w:sz w:val="20"/>
        </w:rPr>
        <w:t xml:space="preserve">. Such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 Such Purchaser also represents that such Purchaser was contacted regarding the sale of the Securities by the Company (or an authorized agent or representative of the Company) with which such Purchaser had a substantial pre-existing relationship.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Experience of Such Purchaser</w:t>
      </w:r>
      <w:r>
        <w:rPr>
          <w:rFonts w:ascii="Times New Roman" w:hAnsi="Times New Roman"/>
          <w:sz w:val="20"/>
        </w:rPr>
        <w:t xml:space="preserve">.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Disclosure of Information</w:t>
      </w:r>
      <w:r>
        <w:rPr>
          <w:rFonts w:ascii="Times New Roman" w:hAnsi="Times New Roman"/>
          <w:sz w:val="20"/>
        </w:rPr>
        <w:t xml:space="preserve">. Such Purchaser has had an opportunity to receive all information related to the Company requested by it and to ask questions of and receive answers from the Company regarding the Company, its business and the terms and conditions of the offering of the Securities. Such Purchaser acknowledges receipt of copies of the SEC Documents (or access thereto via EDGAR). Neither such inquiries nor any other due diligence investigation conducted by such Purchaser nor anything else contained herein, shall modify, limit or otherwise affect such Purchasers right to rely on the Companys representations, warranties, covenants and agreements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No Rule 506 Disqualifying Activities</w:t>
      </w:r>
      <w:r>
        <w:rPr>
          <w:rFonts w:ascii="Times New Roman" w:hAnsi="Times New Roman"/>
          <w:sz w:val="20"/>
        </w:rPr>
        <w:t xml:space="preserve">. Such Purchaser is not subject to the disqualification provisions of Rule 506(d)(1)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Independent Advice</w:t>
      </w:r>
      <w:r>
        <w:rPr>
          <w:rFonts w:ascii="Times New Roman" w:hAnsi="Times New Roman"/>
          <w:sz w:val="20"/>
        </w:rPr>
        <w:t xml:space="preserve">. Such Purchaser understands that nothing in this Agreement or any other materials presented to such Purchaser by or on behalf of the Company in connection with the purchase and sale of the Securities constitutes legal, tax or investment advice. Such Purchaser has consulted such legal, tax and investment advisors as it, in its sole discretion, has deemed necessary or appropriate in connection with its purchase of the Securities. Each Purchaser acknowledges and agrees that the Placement Agent shall have no liability or obligation (including without limitation, for or with respect to any losses, claims, damages, obligations, penalties, judgments, awards, liabilities, costs, expenses or disbursements incurred by such Purchaser, the Company or any other person or entity), whether in contract, tort or otherwise, to the Purchaser, or to any person claiming through such Purchaser, in respect of the transactions contemplated hereby. Each Purchaser acknowledges and agrees that the Placement Agent shall have no liability or obligation on or with respect to the accuracy or completeness, as of any date, of any information set forth in, or any omission from, any valuation or other materials that may have been provided or made available to the Purchaser in connection with the transactions contemplated hereby. Each Purchaser is not relying upon, and has not relied upon, any statement, representation or warranty made by any person, including, without limitation, the Placement Agent, except for the statements, representations and warranties contained in this Agreement. The Placement Agent shall be a third-party beneficiary of, and shall be entitled to rely on, the representations and warranties described in this Section 3.13.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Further Transfers</w:t>
      </w:r>
      <w:r>
        <w:rPr>
          <w:rFonts w:ascii="Times New Roman" w:hAnsi="Times New Roman"/>
          <w:sz w:val="20"/>
        </w:rPr>
        <w:t xml:space="preserve">. Each Purchaser covenants that the Securities will only be sold, offered for sale, pledged, loaned, or otherwise disposed of pursuant to an effective registration statement under, and in compliance with the requirements of, the Securities Act or pursuant to an available exemption from the registration requirements of the Securities Act, and in compliance with any applicable state securities laws. In connection with any transfer of Securities other than pursuant to an effective registration statement or Rule 144, the Company may require such Purchaser to provide to the Company an opinion of counsel selected by such Purchaser, the form and substance of which opinion shall be reasonably satisfactory to the Company, to the effect that such transfer does not require registration under the Securities Act. The Company hereby acknowledges and agrees to the covenants and agreements set forth in Section 3.7(b) of this Agreement, as if set forth in this Article 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No 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pursuant to this Agreement in a manner that would require the registration under the Securities Act of the sale of the Securities to the Purchasers, or that will be integrated with the offer or sale of the Securities pursuant to this Agreement for purposes of the rules and regulations of Nasdaq such that it would require stockholder approval prior to the closing of such other transaction unless stockholder approval is obtained before the closing of such subsequent transaction. The Purchasers shall take no action to become a group such that any transactions contemplated by this Agreement would require shareholder approval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Subsequent Equity Sales</w:t>
      </w:r>
      <w:r>
        <w:rPr>
          <w:rFonts w:ascii="Times New Roman" w:hAnsi="Times New Roman"/>
          <w:sz w:val="20"/>
        </w:rPr>
        <w:t>. From the date hereof and continuing to and including the date that is the earlier of (i) 90 days after the Closing Date and (ii) the date on which a registration statement with respect to the resale of all of the Shares and Warrant Shares is declared effective by the Commission (the </w:t>
      </w:r>
      <w:r>
        <w:rPr>
          <w:rFonts w:ascii="Times New Roman" w:hAnsi="Times New Roman"/>
          <w:b/>
          <w:i/>
          <w:sz w:val="20"/>
        </w:rPr>
        <w:t>Restricted Period</w:t>
      </w:r>
      <w:r>
        <w:rPr>
          <w:rFonts w:ascii="Times New Roman" w:hAnsi="Times New Roman"/>
          <w:sz w:val="20"/>
        </w:rPr>
        <w:t>), the Company shall not, and shall not cause or direct any of its affiliates to (A) offer, sell, contract to sell, pledge, grant any option to purchase, make any short sale or otherwise transfer or dispose of, directly or indirectly, any shares of Common Stock or any securities convertible into or exchangeable for, or that represent the right to receive, shares of Common Stock, except for new issuances of Common Stock of the Company for a price per share that is greater than or equal to the greater of the Price Per Share or the closing price on the trading day immediately preceding the date of the agreement to purchase such shares, or (B) file with the Commission a registration statement under the Securities Act relating to any shares of Common Stock or any securities convertible into or exchangeable for, or that represent the right to receive, shares of Common Stock, except (i) pursuant to the terms of the Registration Rights Agreement and (ii) a Registration Statement on Form S-8 under the Securities Act to register the offer and sale of securities under the Companys 2023 Inducement Option Plan. Notwithstanding anything to the contrary contained herein, the foregoing restrictions shall not apply to (a) the Securities to be issued and sold pursuant to this Agreement, including the issuance of Warrant Shares upon the exercise of the exercise of the Pre-Funded Warrants, (b) any shares of Common Stock or any securities or other awards (including without limitation options, restricted stock or restricted stock units) convertible into, exercisable for, or that represent the right to receive, shares of Common Stock pursuant to any stock option plan, incentive plan or stock purchase plan of the Company (collectively, </w:t>
      </w:r>
      <w:r>
        <w:rPr>
          <w:rFonts w:ascii="Times New Roman" w:hAnsi="Times New Roman"/>
          <w:b/>
          <w:i/>
          <w:sz w:val="20"/>
        </w:rPr>
        <w:t>Company Stock Plans</w:t>
      </w:r>
      <w:r>
        <w:rPr>
          <w:rFonts w:ascii="Times New Roman" w:hAnsi="Times New Roman"/>
          <w:sz w:val="20"/>
        </w:rPr>
        <w:t xml:space="preserve">) or otherwise in equity compensation arrangements described in the SEC Documents that are in effect as of the date hereof, (c) any shares of Common Stock issued upon the conversion, exercise or exchange of convertible, exercisable or exchangeable securities outstanding as of the date hereof and described in the Recent SEC Disclosure that are in effect as of the date hereof, and (d) any shares of Common Stock or any securities convertible into or exchangeable for, or that represent the right to receive, shares of Common Stock issued in connection with any </w:t>
      </w:r>
      <w:r>
        <w:rPr>
          <w:rFonts w:ascii="Times New Roman" w:hAnsi="Times New Roman"/>
          <w:i/>
          <w:sz w:val="20"/>
        </w:rPr>
        <w:t>bona fide</w:t>
      </w:r>
      <w:r>
        <w:rPr>
          <w:rFonts w:ascii="Times New Roman" w:hAnsi="Times New Roman"/>
          <w:sz w:val="20"/>
        </w:rPr>
        <w:t xml:space="preserve"> licensing, commercialization, joint venture, technology transfer or development collaboration agreement with an unaffiliated third party and not principally for capital raising purposes, </w:t>
      </w:r>
      <w:r>
        <w:rPr>
          <w:rFonts w:ascii="Times New Roman" w:hAnsi="Times New Roman"/>
          <w:i/>
          <w:sz w:val="20"/>
        </w:rPr>
        <w:t xml:space="preserve">provided, </w:t>
      </w:r>
      <w:r>
        <w:rPr>
          <w:rFonts w:ascii="Times New Roman" w:hAnsi="Times New Roman"/>
          <w:sz w:val="20"/>
        </w:rPr>
        <w:t xml:space="preserve">that the aggregate number of shares that the Company may sell or issue or agree to sell or issue pursuant to clause (d) shall not exceed 5.0% of the total number of shares of Common Stock issued and outstanding immediately following the issuance and sale of the Securities to be sold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Lock-Up Agreements</w:t>
      </w:r>
      <w:r>
        <w:rPr>
          <w:rFonts w:ascii="Times New Roman" w:hAnsi="Times New Roman"/>
          <w:sz w:val="20"/>
        </w:rPr>
        <w:t xml:space="preserve">.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Securities Laws Disclosure; Publicity</w:t>
      </w:r>
      <w:r>
        <w:rPr>
          <w:rFonts w:ascii="Times New Roman" w:hAnsi="Times New Roman"/>
          <w:sz w:val="20"/>
        </w:rPr>
        <w:t>. The Company shall: (a) by 9:30 a.m. (New York City time) on the Trading Day immediately following the date hereof, issue a press release disclosing the material terms of the transactions contemplated hereby (the </w:t>
      </w:r>
      <w:r>
        <w:rPr>
          <w:rFonts w:ascii="Times New Roman" w:hAnsi="Times New Roman"/>
          <w:b/>
          <w:i/>
          <w:sz w:val="20"/>
        </w:rPr>
        <w:t>Press Release</w:t>
      </w:r>
      <w:r>
        <w:rPr>
          <w:rFonts w:ascii="Times New Roman" w:hAnsi="Times New Roman"/>
          <w:sz w:val="20"/>
        </w:rPr>
        <w:t>), and (b) by 5:30 p.m. (New York City time) on the fourth Trading Day following the date hereof, file a Current Report on Form 8-K disclosing the material terms of the transactions contemplated hereby in the form required by the Exchange Act and attaching as exhibits to such Current Report on Form 8-K this Agreement, the form of Pre-Funded Warrant and the Registration Rights Agreement (in each case, without redaction) (including all attachments, the </w:t>
      </w:r>
      <w:r>
        <w:rPr>
          <w:rFonts w:ascii="Times New Roman" w:hAnsi="Times New Roman"/>
          <w:b/>
          <w:i/>
          <w:sz w:val="20"/>
        </w:rPr>
        <w:t>8-K Filing</w:t>
      </w:r>
      <w:r>
        <w:rPr>
          <w:rFonts w:ascii="Times New Roman" w:hAnsi="Times New Roman"/>
          <w:sz w:val="20"/>
        </w:rPr>
        <w:t xml:space="preserve">). Subject to the foregoing, neither the Company nor any Purchaser shall issue any press releases or any other public statements with respect to the transactions contemplated hereby except as may be reviewed and approved by the Company; </w:t>
      </w:r>
      <w:r>
        <w:rPr>
          <w:rFonts w:ascii="Times New Roman" w:hAnsi="Times New Roman"/>
          <w:i/>
          <w:sz w:val="20"/>
        </w:rPr>
        <w:t>provided, however</w:t>
      </w:r>
      <w:r>
        <w:rPr>
          <w:rFonts w:ascii="Times New Roman" w:hAnsi="Times New Roman"/>
          <w:sz w:val="20"/>
        </w:rPr>
        <w:t xml:space="preserve">, that the Company shall be entitled, without the prior approval of any Purchaser, to make any press release or other public disclosure with respect to the transactions contemplated hereby, </w:t>
      </w:r>
      <w:r>
        <w:rPr>
          <w:rFonts w:ascii="Times New Roman" w:hAnsi="Times New Roman"/>
          <w:i/>
          <w:sz w:val="20"/>
        </w:rPr>
        <w:t>provided, further, however</w:t>
      </w:r>
      <w:r>
        <w:rPr>
          <w:rFonts w:ascii="Times New Roman" w:hAnsi="Times New Roman"/>
          <w:sz w:val="20"/>
        </w:rPr>
        <w:t xml:space="preserve">, that the Company shall not publicly disclose the name of any Purchaser or any Affiliate of any Purchaser except as otherwise required by applicable law and regulations or as agreed to by the applicable Purchaser.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Furnishing of Information; Public Information</w:t>
      </w:r>
      <w:r>
        <w:rPr>
          <w:rFonts w:ascii="Times New Roman" w:hAnsi="Times New Roman"/>
          <w:sz w:val="20"/>
        </w:rPr>
        <w:t xml:space="preserve">. Until the earlier of the time that (i) no Purchaser owns Securities or (ii) the Pre-Funded Warrants have expired, the Company covenants to maintain the registration of the Common Stock under Section 12(b) or 12(g) of the Exchange Act and to timely file (without obtaining any extensions in respect thereof) all reports required to be filed by the Company after the date hereof pursuant to the Exchange Act even if the Company is not then subject to the reporting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Shareholder Rights Plan</w:t>
      </w:r>
      <w:r>
        <w:rPr>
          <w:rFonts w:ascii="Times New Roman" w:hAnsi="Times New Roman"/>
          <w:sz w:val="20"/>
        </w:rPr>
        <w:t xml:space="preserve">.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Non-Public Information</w:t>
      </w:r>
      <w:r>
        <w:rPr>
          <w:rFonts w:ascii="Times New Roman" w:hAnsi="Times New Roman"/>
          <w:sz w:val="20"/>
        </w:rPr>
        <w:t xml:space="preserve">. The Company covenants and agrees that, on and after the date hereof,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trust or confidentiality to the Company, any of its subsidiaries, or any of their respective officers, directors, agents, employees or affiliates, or a duty to the Company, any of its Subsidiaries or any of their respective officers, directors, agents, employees or affiliates not to trade while aware of, such material, non-public information. To the extent that any notice provided pursuant to any Transaction Document constitutes, or contains, material, non-public information regarding the Company or any of its subsidiaries, the Company shall simultaneously file such notice with the Commission pursuant to a Current Report on Form 8-K. The Company understands and confirms that each Purchaser shall be relying on the foregoing, representations, warranties, covenants and agreements in effecting transactions in securities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Indemnification of Purchasers</w:t>
      </w:r>
      <w:r>
        <w:rPr>
          <w:rFonts w:ascii="Times New Roman" w:hAnsi="Times New Roman"/>
          <w:sz w:val="20"/>
        </w:rPr>
        <w:t>. Subject to the provisions of this Section 4.9, the Company will indemnify and hold each Purchaser and its directors, officers, shareholders, members, partners, members, managers, investment advisers,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members, managers, investment advisers, employees and agents (and any other Persons with a functionally equivalent role of a Person holding such titles notwithstanding a lack of such title or any other title) of such controlling persons (each, a </w:t>
      </w:r>
      <w:r>
        <w:rPr>
          <w:rFonts w:ascii="Times New Roman" w:hAnsi="Times New Roman"/>
          <w:b/>
          <w:i/>
          <w:sz w:val="20"/>
        </w:rPr>
        <w:t>Purchaser Party</w:t>
      </w:r>
      <w:r>
        <w:rPr>
          <w:rFonts w:ascii="Times New Roman" w:hAnsi="Times New Roman"/>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as finally determined by a court of competent jurisdiction. Without the prior written consent of a Purchaser Party, the Company shall not effect any settlement of, or consent to any judgment in respect of, any pending or threatened proceeding in respect of which such Purchaser Party is or could have been a party and indemnity could have been sought hereunder by such Purchaser Party, unless such settlement or judgment includes an unconditional release of such Purchaser Party from all liability arising out of such proceeding and does not include any admission to fault, culpability or failure to act on the part of such Purchaser Party. The indemnification required by this Section 4.9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Listing of Common Stock</w:t>
      </w:r>
      <w:r>
        <w:rPr>
          <w:rFonts w:ascii="Times New Roman" w:hAnsi="Times New Roman"/>
          <w:sz w:val="20"/>
        </w:rPr>
        <w:t xml:space="preserve">. The Company hereby agrees to use best efforts to maintain the listing or quotation of the Common Stock on Nasdaq, and concurrently with the Closing, the Company shall apply to list or quote all of the Shares and Warrant Shares on Nasdaq and promptly secure the listing of all of the Shares and Warrant Shares on Nasdaq. The Company will then take all action reasonably necessary to continue the listing and trading of its Common Stock on Nasdaq and will comply in all respects with the Companys reporting, filing and other obligations under the bylaws or rules of Nasdaq.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Equal Treatment of Purchasers</w:t>
      </w:r>
      <w:r>
        <w:rPr>
          <w:rFonts w:ascii="Times New Roman" w:hAnsi="Times New Roman"/>
          <w:sz w:val="20"/>
        </w:rPr>
        <w:t xml:space="preserve">.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Form D; Blue Sky Filings</w:t>
      </w:r>
      <w:r>
        <w:rPr>
          <w:rFonts w:ascii="Times New Roman" w:hAnsi="Times New Roman"/>
          <w:sz w:val="20"/>
        </w:rPr>
        <w:t xml:space="preserve">.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Acknowledgment of Dilution</w:t>
      </w:r>
      <w:r>
        <w:rPr>
          <w:rFonts w:ascii="Times New Roman" w:hAnsi="Times New Roman"/>
          <w:sz w:val="20"/>
        </w:rPr>
        <w:t xml:space="preserve">.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Conditions Precedent to the Obligations of the Purchasers</w:t>
      </w:r>
      <w:r>
        <w:rPr>
          <w:rFonts w:ascii="Times New Roman" w:hAnsi="Times New Roman"/>
          <w:sz w:val="20"/>
        </w:rPr>
        <w:t xml:space="preserve">. The obligation of the Purchasers to acquire the Securities at the Closing is subject to the satisfaction or waiver by the Purchasers, at or before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in Article II shall be true and correct in all respects as of the date of this Agreement and as of the Closing Date, except to the extent any such representation or warranty expressly speaks as of an earlier date, in which case such representation or warranty shall be true and correct as of such earlier date, and, the representations and warranties made by the Company in Article II hereof not qualified as to materiality shall be true and correct in all material respects as of the date hereof and the Closing Date, except to the extent any such representation or warranty expressly speaks as of an earlier date, in which case such representation or warranty shall be true and correct in all material respects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and complied, in all material respects, with all covenants, agreements, obligations and conditions contained in this Agreement that are required to be performed or complied with by the Company on or before the Closing, including, without limitation, the delivery by the Company of the items contemplated by Section 1.4(a).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Nasdaq Objection</w:t>
      </w:r>
      <w:r>
        <w:rPr>
          <w:rFonts w:ascii="Times New Roman" w:hAnsi="Times New Roman"/>
          <w:sz w:val="20"/>
        </w:rPr>
        <w:t xml:space="preserve">. Nasdaq shall have raised no objection to the consummation of the transactions contemplated by the Transaction Documents in the absence of stockholder approval of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Listing of Additional Shares</w:t>
      </w:r>
      <w:r>
        <w:rPr>
          <w:rFonts w:ascii="Times New Roman" w:hAnsi="Times New Roman"/>
          <w:sz w:val="20"/>
        </w:rPr>
        <w:t xml:space="preserve">. The Company shall have submitted a Listing of Additional Shares Notification with Nasdaq covering all of the Shares and the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and the Registration Rights Agreement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Suspensions of Trading in Common Stock</w:t>
      </w:r>
      <w:r>
        <w:rPr>
          <w:rFonts w:ascii="Times New Roman" w:hAnsi="Times New Roman"/>
          <w:sz w:val="20"/>
        </w:rPr>
        <w:t xml:space="preserve">. The Common Stock shall not have been suspended, as of the Closing Date, by the Commission or Nasdaq from trading on Nasdaq.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Material Adverse Change</w:t>
      </w:r>
      <w:r>
        <w:rPr>
          <w:rFonts w:ascii="Times New Roman" w:hAnsi="Times New Roman"/>
          <w:sz w:val="20"/>
        </w:rPr>
        <w:t xml:space="preserve">. There shall have been no Material Adverse Change with respect to the Company since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Conditions Precedent to the Obligations of the Company</w:t>
      </w:r>
      <w:r>
        <w:rPr>
          <w:rFonts w:ascii="Times New Roman" w:hAnsi="Times New Roman"/>
          <w:sz w:val="20"/>
        </w:rPr>
        <w:t xml:space="preserve">. The obligation of the Company to issue the Securities at the Closing is subject to the satisfaction or waiver by the Company, at or before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Purchaser contained in Article III shall be true and correct in all respects as of the Closing (unless as of a specific date therein in which case they shall be accurate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Purchaser shall have performed, satisfied and complied in all material respects with all covenants, agreements and conditions required by the Transaction Documents to be performed, satisfied or complied with by such Purchaser at or prior to the Closing, including, without limitation, the delivery by each Purchaser of the items contemplated by Section 1.4(b).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Nasdaq Objection</w:t>
      </w:r>
      <w:r>
        <w:rPr>
          <w:rFonts w:ascii="Times New Roman" w:hAnsi="Times New Roman"/>
          <w:sz w:val="20"/>
        </w:rPr>
        <w:t xml:space="preserve">. Nasdaq shall have raised no objection to the consummation of the transactions contemplated by the Transaction Documents in the absence of stockholder approval of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Registration Rights Agreement</w:t>
      </w:r>
      <w:r>
        <w:rPr>
          <w:rFonts w:ascii="Times New Roman" w:hAnsi="Times New Roman"/>
          <w:sz w:val="20"/>
        </w:rPr>
        <w:t xml:space="preserve">. Each Purchaser shall have executed and delivered the Registration Rights Agreement, and the Registration Rights Agreement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Termination</w:t>
      </w:r>
      <w:r>
        <w:rPr>
          <w:rFonts w:ascii="Times New Roman" w:hAnsi="Times New Roman"/>
          <w:sz w:val="20"/>
        </w:rPr>
        <w:t xml:space="preserve">. In addition to the provisions of Section 7.6, in the event that the Closing shall not have occurred with respect to a Purchaser on or before five Business Days from the date hereof due to the Companys or such Purchasers failure to satisfy the conditions set forth in Section 5 above (and the nonbreaching partys failure to waive such unsatisfied condition(s)), the nonbreaching party shall have the option to terminate this Agreement with respect to such breaching party at the close of business on such date without liability of any party to any other party.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Survival of Warranties</w:t>
      </w:r>
      <w:r>
        <w:rPr>
          <w:rFonts w:ascii="Times New Roman" w:hAnsi="Times New Roman"/>
          <w:sz w:val="20"/>
        </w:rPr>
        <w:t xml:space="preserve">. Unless otherwise set forth in this Agreement, the representations and warranties of the Company and the Purchasers contained in or made pursuant to this Agreement shall survive the Closing and the delivery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 Finders Fees</w:t>
      </w:r>
      <w:r>
        <w:rPr>
          <w:rFonts w:ascii="Times New Roman" w:hAnsi="Times New Roman"/>
          <w:sz w:val="20"/>
        </w:rPr>
        <w:t xml:space="preserve">. Each party represents that it neither is nor will be obligated for any finders fee or commission in connection with this transaction. The Company agrees to indemnify and to hold harmless the Purchasers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 Each Purchaser, severally and not jointly, agrees to indemnify and hold harmless the Company from any liability for any commission or compensation in the nature of a finders or brokers fee arising out of this transaction (and the costs and expenses of defending against such liability or asserted liability) for which such Purchaser or any of its officers, employees or representatives is responsible.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Fees and Expenses</w:t>
      </w:r>
      <w:r>
        <w:rPr>
          <w:rFonts w:ascii="Times New Roman" w:hAnsi="Times New Roman"/>
          <w:sz w:val="20"/>
        </w:rPr>
        <w:t xml:space="preserve">. Each party shall pay the fees and expenses of its advisors, counsel, accountants and other experts, if any, and all other expenses, incurred by such party incident to the negotiation, preparation,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Entire Agreement</w:t>
      </w:r>
      <w:r>
        <w:rPr>
          <w:rFonts w:ascii="Times New Roman" w:hAnsi="Times New Roman"/>
          <w:sz w:val="20"/>
        </w:rPr>
        <w:t xml:space="preserve">.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Confidentiality Agreements previously entered into between the Company and any Purchasers shall remain in full force and effect in accordance with their terms. At or after the Closing, and without further consideration, the Company will execute and deliver to the Purchasers, and the Purchasers will execute and deliver to the Company, such further documents as may be reasonably requested in order to give practical effect to the intention of the parties under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email at the email address specified in this </w:t>
      </w:r>
      <w:r>
        <w:rPr>
          <w:rFonts w:ascii="Times New Roman" w:hAnsi="Times New Roman"/>
          <w:sz w:val="20"/>
          <w:u w:val="single"/>
        </w:rPr>
        <w:t>Section 7.5</w:t>
      </w:r>
      <w:r>
        <w:rPr>
          <w:rFonts w:ascii="Times New Roman" w:hAnsi="Times New Roman"/>
          <w:sz w:val="20"/>
        </w:rPr>
        <w:t xml:space="preserve"> prior to 4:00 p.m. (New York City time) on a Nasdaq trading day (</w:t>
      </w:r>
      <w:r>
        <w:rPr>
          <w:rFonts w:ascii="Times New Roman" w:hAnsi="Times New Roman"/>
          <w:b/>
          <w:i/>
          <w:sz w:val="20"/>
        </w:rPr>
        <w:t>Trading Day</w:t>
      </w:r>
      <w:r>
        <w:rPr>
          <w:rFonts w:ascii="Times New Roman" w:hAnsi="Times New Roman"/>
          <w:sz w:val="20"/>
        </w:rPr>
        <w:t xml:space="preserve">), (b) the next Trading Day after the date of transmission, if such notice or communication is delivered via email at the email address specified in this </w:t>
      </w:r>
      <w:r>
        <w:rPr>
          <w:rFonts w:ascii="Times New Roman" w:hAnsi="Times New Roman"/>
          <w:sz w:val="20"/>
          <w:u w:val="single"/>
        </w:rPr>
        <w:t>Section 7.5</w:t>
      </w:r>
      <w:r>
        <w:rPr>
          <w:rFonts w:ascii="Times New Roman" w:hAnsi="Times New Roman"/>
          <w:sz w:val="20"/>
        </w:rPr>
        <w:t xml:space="preserve"> on a day that is not a Trading Day or later than 4:00 p.m. (New York City time) on any Trading Day, (c) the Trading Day following the date of deposit with a nationally recognized overnight courier service, or (d) upon actual receipt by the party to whom such notice is required to be given. The addresses and email addresses for such notices and communications are those set forth below, or such other address as may be designated in writing hereafter, in the same manner, by any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Kura Oncology, Inc. </w:t>
      </w:r>
    </w:p>
    <w:p>
      <w:pPr>
        <w:pStyle w:val="TextBody"/>
        <w:bidi w:val="0"/>
        <w:spacing w:before="0" w:after="0"/>
        <w:jc w:val="left"/>
        <w:rPr>
          <w:rFonts w:ascii="Times New Roman" w:hAnsi="Times New Roman"/>
          <w:sz w:val="20"/>
        </w:rPr>
      </w:pPr>
      <w:r>
        <w:rPr>
          <w:rFonts w:ascii="Times New Roman" w:hAnsi="Times New Roman"/>
          <w:sz w:val="20"/>
        </w:rPr>
        <w:t xml:space="preserve">12730 High Bluff Drive, Suite 400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92130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with copies (which copies shall not constitute notice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10265 Science Center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left"/>
        <w:rPr>
          <w:rFonts w:ascii="Times New Roman" w:hAnsi="Times New Roman"/>
          <w:sz w:val="20"/>
        </w:rPr>
      </w:pPr>
      <w:r>
        <w:rPr>
          <w:rFonts w:ascii="Times New Roman" w:hAnsi="Times New Roman"/>
          <w:sz w:val="20"/>
        </w:rPr>
        <w:t xml:space="preserve">Attention: Charles Bair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If to the Purchasers: </w:t>
      </w:r>
    </w:p>
    <w:p>
      <w:pPr>
        <w:pStyle w:val="TextBody"/>
        <w:bidi w:val="0"/>
        <w:spacing w:before="120" w:after="0"/>
        <w:jc w:val="left"/>
        <w:rPr>
          <w:rFonts w:ascii="Times New Roman" w:hAnsi="Times New Roman"/>
          <w:sz w:val="20"/>
        </w:rPr>
      </w:pPr>
      <w:r>
        <w:rPr>
          <w:rFonts w:ascii="Times New Roman" w:hAnsi="Times New Roman"/>
          <w:sz w:val="20"/>
        </w:rPr>
        <w:t xml:space="preserve">To their respective addresses as set forth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Amendments; Waivers</w:t>
      </w:r>
      <w:r>
        <w:rPr>
          <w:rFonts w:ascii="Times New Roman" w:hAnsi="Times New Roman"/>
          <w:sz w:val="20"/>
        </w:rPr>
        <w:t xml:space="preserve">. This Agreement and any term hereof may be amended, terminated or waived only with the written consent of the Company and (i) with respect to an amendment, termination or waiver prior to the Closing, all of the Purchasers, and (ii) with respect to an amendment, termination or waiver after the Closing, the Purchasers holding at least a majority of the outstanding Securities (on an as-converted to Common Stock basis) then held by all Purchasers.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7.6 shall be binding upon each Purchaser and holder of Securities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Construction</w:t>
      </w:r>
      <w:r>
        <w:rPr>
          <w:rFonts w:ascii="Times New Roman" w:hAnsi="Times New Roman"/>
          <w:sz w:val="20"/>
        </w:rPr>
        <w:t xml:space="preserve">.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successors and permitted assigns. The Company may not assign this Agreement or any rights or obligations hereunder without the prior written consent of each Purchaser;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shall be required in connection with any assignment after the Closing (i) occurring by operation of law in connection with any merger or consolidation to which the Company is a party, (ii) in connection with the acquisition of all or substantially all of the assets of the Company or (iii) any other similar business combination transaction involving the Company. A Purchaser may assign its rights under this Agreement only to a person to whom such Purchaser assigns or transfers all Securities held by such Purchaser;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(i) following such transfer or assignment, the further disposition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transferee or assignee is restricted under the Securities Act and applicable state securities laws, (ii) as a condition of such transfer, such transferee agrees in writing to be bound by all of the terms and conditions of this Agreement as a party hereto and (iii) such transfer shall have been made in accordance with the applicable requirements of this Agreement and with all laws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Persons Entitled to Benefit of Agreement</w:t>
      </w:r>
      <w:r>
        <w:rPr>
          <w:rFonts w:ascii="Times New Roman" w:hAnsi="Times New Roman"/>
          <w:sz w:val="20"/>
        </w:rPr>
        <w:t xml:space="preserve">. This Agreement is intended for the benefit of the parties hereto and their respective permitted successors and assigns and is not for the benefit of, nor may any provision hereof be enforced by, any other person, except that the Purchaser Parties are express third party beneficiaries of the provisions of Section 4.9, entitled to enforce such provisions as if party thereto.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Governing Law; Jurisdiction</w:t>
      </w:r>
      <w:r>
        <w:rPr>
          <w:rFonts w:ascii="Times New Roman" w:hAnsi="Times New Roman"/>
          <w:sz w:val="20"/>
        </w:rPr>
        <w:t xml:space="preserve">. This Agreement and all matters relating hereto shall be governed by, and construed in accordance with, the internal laws of the State of New York without regard to the choice of law principles thereof. Each of the parties hereto irrevocably submits to the exclusive jurisdiction of the state and federal courts located in the State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If any party hereto shall commence an action or proceeding to enforce any provisions of the Transaction Documents, then, the prevailing party in such action or proceeding shall be reimbursed by the non-prevailing party for its reasonable attorneys fees and other costs and expenses incurred with the investigation, preparation and prosecution of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Counterparts; Execution</w:t>
      </w:r>
      <w:r>
        <w:rPr>
          <w:rFonts w:ascii="Times New Roman" w:hAnsi="Times New Roman"/>
          <w:sz w:val="20"/>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Severability</w:t>
      </w:r>
      <w:r>
        <w:rPr>
          <w:rFonts w:ascii="Times New Roman" w:hAnsi="Times New Roman"/>
          <w:sz w:val="20"/>
        </w:rPr>
        <w:t xml:space="preserve">. If any provision hereof should be held invalid, illegal or unenforceable in any respect, then, to the fullest extent permitted by law, (a) all other provisions hereof shall remain in full force and effect and shall be liberally construed in order to carry out the intentions of the parties as nearly as may be possible and (b) the parties shall use their best efforts to replace the invalid, illegal or unenforceable provision(s) with valid, legal and enforceable provision(s) which, insofar as practical, implement the purposes of such provision(s)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Rescission and Withdrawal Right</w:t>
      </w:r>
      <w:r>
        <w:rPr>
          <w:rFonts w:ascii="Times New Roman" w:hAnsi="Times New Roman"/>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Remedies</w:t>
      </w:r>
      <w:r>
        <w:rPr>
          <w:rFonts w:ascii="Times New Roman" w:hAnsi="Times New Roman"/>
          <w:sz w:val="20"/>
        </w:rPr>
        <w:t xml:space="preserve">. In addition to being entitled to exercise all rights provided herein or granted by law, including recovery of damages, each of the Purchasers and the Company will be entitled to specific performance under the Transaction Documents without the necessity of proving economic harm or posting bond or other security.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7.15 </w:t>
      </w:r>
      <w:r>
        <w:rPr>
          <w:rFonts w:ascii="Times New Roman" w:hAnsi="Times New Roman"/>
          <w:sz w:val="20"/>
          <w:u w:val="single"/>
        </w:rPr>
        <w:t>Payment Set Aside</w:t>
      </w:r>
      <w:r>
        <w:rPr>
          <w:rFonts w:ascii="Times New Roman" w:hAnsi="Times New Roman"/>
          <w:sz w:val="20"/>
        </w:rPr>
        <w:t xml:space="preserve">.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7.16 </w:t>
      </w:r>
      <w:r>
        <w:rPr>
          <w:rFonts w:ascii="Times New Roman" w:hAnsi="Times New Roman"/>
          <w:sz w:val="20"/>
          <w:u w:val="single"/>
        </w:rPr>
        <w:t>Independent Nature of Purchasers Obligations and Rights</w:t>
      </w:r>
      <w:r>
        <w:rPr>
          <w:rFonts w:ascii="Times New Roman" w:hAnsi="Times New Roman"/>
          <w:sz w:val="20"/>
        </w:rPr>
        <w:t xml:space="preserve">.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7.17 </w:t>
      </w:r>
      <w:r>
        <w:rPr>
          <w:rFonts w:ascii="Times New Roman" w:hAnsi="Times New Roman"/>
          <w:b/>
          <w:sz w:val="20"/>
          <w:u w:val="single"/>
        </w:rPr>
        <w:t>WAIVER OF JURY TRIAL</w:t>
      </w:r>
      <w:r>
        <w:rPr>
          <w:rFonts w:ascii="Times New Roman" w:hAnsi="Times New Roman"/>
          <w:b/>
          <w:sz w:val="20"/>
        </w:rPr>
        <w:t xml:space="preserve">. </w:t>
      </w:r>
      <w:r>
        <w:rPr>
          <w:rFonts w:ascii="Times New Roman" w:hAnsi="Times New Roman"/>
          <w:b/>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240" w:after="0"/>
        <w:jc w:val="left"/>
        <w:rPr>
          <w:rFonts w:ascii="Times New Roman" w:hAnsi="Times New Roman"/>
          <w:sz w:val="20"/>
        </w:rPr>
      </w:pPr>
      <w:r>
        <w:rPr>
          <w:rFonts w:ascii="Times New Roman" w:hAnsi="Times New Roman"/>
          <w:sz w:val="20"/>
        </w:rPr>
        <w:t xml:space="preserve">7.18 </w:t>
      </w:r>
      <w:r>
        <w:rPr>
          <w:rFonts w:ascii="Times New Roman" w:hAnsi="Times New Roman"/>
          <w:sz w:val="20"/>
          <w:u w:val="single"/>
        </w:rPr>
        <w:t>Third-Party Beneficiary</w:t>
      </w:r>
      <w:r>
        <w:rPr>
          <w:rFonts w:ascii="Times New Roman" w:hAnsi="Times New Roman"/>
          <w:sz w:val="20"/>
        </w:rPr>
        <w:t xml:space="preserve">. The Placement Agent shall be a third party beneficiary of the representations and warranties of the Company in </w:t>
      </w:r>
      <w:r>
        <w:rPr>
          <w:rFonts w:ascii="Times New Roman" w:hAnsi="Times New Roman"/>
          <w:sz w:val="20"/>
          <w:u w:val="single"/>
        </w:rPr>
        <w:t>Article II</w:t>
      </w:r>
      <w:r>
        <w:rPr>
          <w:rFonts w:ascii="Times New Roman" w:hAnsi="Times New Roman"/>
          <w:sz w:val="20"/>
        </w:rPr>
        <w:t xml:space="preserve"> and the representations and warranties of the Purchasers in </w:t>
      </w:r>
      <w:r>
        <w:rPr>
          <w:rFonts w:ascii="Times New Roman" w:hAnsi="Times New Roman"/>
          <w:sz w:val="20"/>
          <w:u w:val="single"/>
        </w:rPr>
        <w:t>Article III</w:t>
      </w:r>
      <w:r>
        <w:rPr>
          <w:rFonts w:ascii="Times New Roman" w:hAnsi="Times New Roman"/>
          <w:sz w:val="20"/>
        </w:rPr>
        <w:t xml:space="preserve">. The Placement Agent may rely on each representation and warranty of the Company and the Purchasers in the subsections specified in the immediately preceding sentence made herein or pursuant to the terms hereof with the same force and effect as if such representation or warranty were made directly to the Placement Agents. This Agreement is intended for the benefit of the parties hereto and the Placement Agent and its permitted successors and assigns and is not for the benefit of, nor may any provision hereof be enforced by, any other person, except as otherwise set forth in this </w:t>
      </w:r>
      <w:r>
        <w:rPr>
          <w:rFonts w:ascii="Times New Roman" w:hAnsi="Times New Roman"/>
          <w:sz w:val="20"/>
          <w:u w:val="single"/>
        </w:rPr>
        <w:t>Section 7.18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7.19 </w:t>
      </w:r>
      <w:r>
        <w:rPr>
          <w:rFonts w:ascii="Times New Roman" w:hAnsi="Times New Roman"/>
          <w:sz w:val="20"/>
          <w:u w:val="single"/>
        </w:rPr>
        <w:t>Rules of Construction</w:t>
      </w:r>
      <w:r>
        <w:rPr>
          <w:rFonts w:ascii="Times New Roman" w:hAnsi="Times New Roman"/>
          <w:sz w:val="20"/>
        </w:rPr>
        <w:t xml:space="preserve">. Unless otherwise indicated or the context otherwise requires, (i) all references to Sections, Schedules or Exhibits are to Sections, Schedules, Appendices or Exhibits contained in or attached to this Agreement, (b) words in the singular or plural include the singular and plural and pronouns stated in either the masculine, the feminine or neuter gender shall include the masculine, feminine and neuter, (c) the words hereof, herein and words of similar effect shall reference this Agreement in its entirety, and (d) the use of the word including in this Agreement shall be by way of example rather than limitation.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KURA ONCOLOGY,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vAlign w:val="bottom"/>
          </w:tcPr>
          <w:p>
            <w:pPr>
              <w:pStyle w:val="TableContents"/>
              <w:bidi w:val="0"/>
              <w:spacing w:before="0" w:after="283"/>
              <w:jc w:val="left"/>
              <w:rPr>
                <w:i/>
              </w:rPr>
            </w:pPr>
            <w:r>
              <w:rPr>
                <w:i/>
              </w:rPr>
              <w:t>/s/ Troy E. Wilson</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Troy E. Wilson, Ph.D., J.D.</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Securities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ECOR1 CAPITAL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EcoR1 Capital, LLC, its General Partner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vAlign w:val="bottom"/>
          </w:tcPr>
          <w:p>
            <w:pPr>
              <w:pStyle w:val="TableContents"/>
              <w:bidi w:val="0"/>
              <w:spacing w:before="0" w:after="283"/>
              <w:jc w:val="left"/>
              <w:rPr>
                <w:i/>
              </w:rPr>
            </w:pPr>
            <w:r>
              <w:rPr>
                <w:i/>
              </w:rPr>
              <w:t>/s/ Oleg Nodelman</w:t>
            </w:r>
          </w:p>
        </w:tc>
      </w:tr>
      <w:tr>
        <w:trPr/>
        <w:tc>
          <w:tcPr>
            <w:tcW w:w="66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Oleg Nodelman</w:t>
            </w:r>
          </w:p>
        </w:tc>
      </w:tr>
      <w:tr>
        <w:trPr/>
        <w:tc>
          <w:tcPr>
            <w:tcW w:w="66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357 Tehama Street #3, San Francisco, CA 94103</w:t>
            </w:r>
          </w:p>
        </w:tc>
      </w:tr>
      <w:tr>
        <w:trPr/>
        <w:tc>
          <w:tcPr>
            <w:tcW w:w="4082" w:type="dxa"/>
            <w:gridSpan w:val="3"/>
            <w:tcBorders/>
          </w:tcPr>
          <w:p>
            <w:pPr>
              <w:pStyle w:val="TableContents"/>
              <w:bidi w:val="0"/>
              <w:spacing w:before="0" w:after="283"/>
              <w:jc w:val="left"/>
              <w:rPr/>
            </w:pPr>
            <w:r>
              <w:rPr/>
              <w:t>Address for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Telephone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E-mail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Scott Perlen</w:t>
            </w:r>
          </w:p>
        </w:tc>
      </w:tr>
      <w:tr>
        <w:trPr/>
        <w:tc>
          <w:tcPr>
            <w:tcW w:w="4082" w:type="dxa"/>
            <w:gridSpan w:val="3"/>
            <w:tcBorders/>
          </w:tcPr>
          <w:p>
            <w:pPr>
              <w:pStyle w:val="TableContents"/>
              <w:bidi w:val="0"/>
              <w:spacing w:before="0" w:after="283"/>
              <w:jc w:val="left"/>
              <w:rPr/>
            </w:pPr>
            <w:r>
              <w:rPr/>
              <w:t>Attention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EcoR1 Capital Fund, L.P.</w:t>
            </w:r>
          </w:p>
        </w:tc>
      </w:tr>
      <w:tr>
        <w:trPr/>
        <w:tc>
          <w:tcPr>
            <w:tcW w:w="4082" w:type="dxa"/>
            <w:gridSpan w:val="3"/>
            <w:tcBorders/>
          </w:tcPr>
          <w:p>
            <w:pPr>
              <w:pStyle w:val="TableContents"/>
              <w:bidi w:val="0"/>
              <w:spacing w:before="0" w:after="283"/>
              <w:jc w:val="left"/>
              <w:rPr/>
            </w:pPr>
            <w:r>
              <w:rPr/>
              <w:t>Name in which Securities are to be registered: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Subscription Amount: $ 5,649,997.75</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Shares: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Pre-Funded Warrants: 327,538</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EIN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ECOR1 CAPITAL FUND QUALIFIED, L.P.</w:t>
            </w:r>
          </w:p>
        </w:tc>
      </w:tr>
      <w:tr>
        <w:trPr/>
        <w:tc>
          <w:tcPr>
            <w:tcW w:w="4082" w:type="dxa"/>
            <w:gridSpan w:val="3"/>
            <w:tcBorders/>
          </w:tcPr>
          <w:p>
            <w:pPr>
              <w:pStyle w:val="TableContents"/>
              <w:bidi w:val="0"/>
              <w:spacing w:before="0" w:after="283"/>
              <w:jc w:val="left"/>
              <w:rPr/>
            </w:pPr>
            <w:r>
              <w:rPr/>
              <w:t>By: EcoR1 Capital, LLC, its General Partner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vAlign w:val="bottom"/>
          </w:tcPr>
          <w:p>
            <w:pPr>
              <w:pStyle w:val="TableContents"/>
              <w:bidi w:val="0"/>
              <w:spacing w:before="0" w:after="283"/>
              <w:jc w:val="left"/>
              <w:rPr>
                <w:i/>
              </w:rPr>
            </w:pPr>
            <w:r>
              <w:rPr>
                <w:i/>
              </w:rPr>
              <w:t>/s/ Oleg Nodelman</w:t>
            </w:r>
          </w:p>
        </w:tc>
      </w:tr>
      <w:tr>
        <w:trPr/>
        <w:tc>
          <w:tcPr>
            <w:tcW w:w="66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Oleg Nodelman</w:t>
            </w:r>
          </w:p>
        </w:tc>
      </w:tr>
      <w:tr>
        <w:trPr/>
        <w:tc>
          <w:tcPr>
            <w:tcW w:w="66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357 Tehama Street #3, San Francisco, CA 94103</w:t>
            </w:r>
          </w:p>
        </w:tc>
      </w:tr>
      <w:tr>
        <w:trPr/>
        <w:tc>
          <w:tcPr>
            <w:tcW w:w="4082" w:type="dxa"/>
            <w:gridSpan w:val="3"/>
            <w:tcBorders/>
          </w:tcPr>
          <w:p>
            <w:pPr>
              <w:pStyle w:val="TableContents"/>
              <w:bidi w:val="0"/>
              <w:spacing w:before="0" w:after="283"/>
              <w:jc w:val="left"/>
              <w:rPr/>
            </w:pPr>
            <w:r>
              <w:rPr/>
              <w:t>Address for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Telephone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E-mail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Scott Perlen</w:t>
            </w:r>
          </w:p>
        </w:tc>
      </w:tr>
      <w:tr>
        <w:trPr/>
        <w:tc>
          <w:tcPr>
            <w:tcW w:w="4082" w:type="dxa"/>
            <w:gridSpan w:val="3"/>
            <w:tcBorders/>
          </w:tcPr>
          <w:p>
            <w:pPr>
              <w:pStyle w:val="TableContents"/>
              <w:bidi w:val="0"/>
              <w:spacing w:before="0" w:after="283"/>
              <w:jc w:val="left"/>
              <w:rPr/>
            </w:pPr>
            <w:r>
              <w:rPr/>
              <w:t>Attention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EcoR1 Capital Fund Qualifed, L.P.</w:t>
            </w:r>
          </w:p>
        </w:tc>
      </w:tr>
      <w:tr>
        <w:trPr/>
        <w:tc>
          <w:tcPr>
            <w:tcW w:w="4082" w:type="dxa"/>
            <w:gridSpan w:val="3"/>
            <w:tcBorders/>
          </w:tcPr>
          <w:p>
            <w:pPr>
              <w:pStyle w:val="TableContents"/>
              <w:bidi w:val="0"/>
              <w:spacing w:before="0" w:after="283"/>
              <w:jc w:val="left"/>
              <w:rPr/>
            </w:pPr>
            <w:r>
              <w:rPr/>
              <w:t>Name in which Securities are to be registered: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Subscription Amount: $ 94,350,018.55</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Shares: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Pre-Funded Warrants: 5,469,598</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EIN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Biotechnology Value Fund, L.P.</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4" w:type="dxa"/>
            <w:tcBorders>
              <w:bottom w:val="single" w:sz="2" w:space="0" w:color="000000"/>
            </w:tcBorders>
            <w:tcMar>
              <w:bottom w:w="28" w:type="dxa"/>
            </w:tcMar>
            <w:vAlign w:val="bottom"/>
          </w:tcPr>
          <w:p>
            <w:pPr>
              <w:pStyle w:val="TableContents"/>
              <w:bidi w:val="0"/>
              <w:spacing w:before="0" w:after="283"/>
              <w:jc w:val="left"/>
              <w:rPr>
                <w:i/>
              </w:rPr>
            </w:pPr>
            <w:r>
              <w:rPr>
                <w:i/>
              </w:rPr>
              <w:t>/s/ Mark Lampert</w:t>
            </w:r>
          </w:p>
        </w:tc>
      </w:tr>
      <w:tr>
        <w:trPr/>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vAlign w:val="bottom"/>
          </w:tcPr>
          <w:p>
            <w:pPr>
              <w:pStyle w:val="TableContents"/>
              <w:bidi w:val="0"/>
              <w:spacing w:before="0" w:after="283"/>
              <w:jc w:val="left"/>
              <w:rPr/>
            </w:pPr>
            <w:r>
              <w:rPr/>
              <w:t>Mark Lampert</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vAlign w:val="bottom"/>
          </w:tcPr>
          <w:p>
            <w:pPr>
              <w:pStyle w:val="TableContents"/>
              <w:bidi w:val="0"/>
              <w:spacing w:before="0" w:after="283"/>
              <w:jc w:val="left"/>
              <w:rPr/>
            </w:pPr>
            <w:r>
              <w:rPr/>
              <w:t>Chief Executive Officer of BVF I GP LLC, General Partner of Biotechnology Value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44 Montgomery St, 40th Floor</w:t>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San Francisco, CA 94104</w:t>
            </w:r>
          </w:p>
        </w:tc>
      </w:tr>
      <w:tr>
        <w:trPr/>
        <w:tc>
          <w:tcPr>
            <w:tcW w:w="4082" w:type="dxa"/>
            <w:gridSpan w:val="3"/>
            <w:tcBorders/>
          </w:tcPr>
          <w:p>
            <w:pPr>
              <w:pStyle w:val="TableContents"/>
              <w:bidi w:val="0"/>
              <w:spacing w:before="0" w:after="283"/>
              <w:jc w:val="left"/>
              <w:rPr/>
            </w:pPr>
            <w:r>
              <w:rPr/>
              <w:t>Address for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Telephone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E-mail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James Kratky</w:t>
            </w:r>
          </w:p>
        </w:tc>
      </w:tr>
      <w:tr>
        <w:trPr/>
        <w:tc>
          <w:tcPr>
            <w:tcW w:w="4082" w:type="dxa"/>
            <w:gridSpan w:val="3"/>
            <w:tcBorders/>
          </w:tcPr>
          <w:p>
            <w:pPr>
              <w:pStyle w:val="TableContents"/>
              <w:bidi w:val="0"/>
              <w:spacing w:before="0" w:after="283"/>
              <w:jc w:val="left"/>
              <w:rPr/>
            </w:pPr>
            <w:r>
              <w:rPr/>
              <w:t>Attention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Biotechnology Value Fund, L.P.</w:t>
            </w:r>
          </w:p>
        </w:tc>
      </w:tr>
      <w:tr>
        <w:trPr/>
        <w:tc>
          <w:tcPr>
            <w:tcW w:w="4082" w:type="dxa"/>
            <w:gridSpan w:val="3"/>
            <w:tcBorders/>
          </w:tcPr>
          <w:p>
            <w:pPr>
              <w:pStyle w:val="TableContents"/>
              <w:bidi w:val="0"/>
              <w:spacing w:before="0" w:after="283"/>
              <w:jc w:val="left"/>
              <w:rPr/>
            </w:pPr>
            <w:r>
              <w:rPr/>
              <w:t>Name in which Securities are to be registered: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Subscription Amount: $ 8,691,068.87</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Shares: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Pre-Funded Warrants: 503,833</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EIN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Biotechnology Value Fund II, L.P.</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4" w:type="dxa"/>
            <w:tcBorders>
              <w:bottom w:val="single" w:sz="2" w:space="0" w:color="000000"/>
            </w:tcBorders>
            <w:tcMar>
              <w:bottom w:w="28" w:type="dxa"/>
            </w:tcMar>
            <w:vAlign w:val="bottom"/>
          </w:tcPr>
          <w:p>
            <w:pPr>
              <w:pStyle w:val="TableContents"/>
              <w:bidi w:val="0"/>
              <w:spacing w:before="0" w:after="283"/>
              <w:jc w:val="left"/>
              <w:rPr>
                <w:i/>
              </w:rPr>
            </w:pPr>
            <w:r>
              <w:rPr>
                <w:i/>
              </w:rPr>
              <w:t>/s/ Mark Lampert</w:t>
            </w:r>
          </w:p>
        </w:tc>
      </w:tr>
      <w:tr>
        <w:trPr/>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vAlign w:val="bottom"/>
          </w:tcPr>
          <w:p>
            <w:pPr>
              <w:pStyle w:val="TableContents"/>
              <w:bidi w:val="0"/>
              <w:spacing w:before="0" w:after="283"/>
              <w:jc w:val="left"/>
              <w:rPr/>
            </w:pPr>
            <w:r>
              <w:rPr/>
              <w:t>Mark Lampert</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vAlign w:val="bottom"/>
          </w:tcPr>
          <w:p>
            <w:pPr>
              <w:pStyle w:val="TableContents"/>
              <w:bidi w:val="0"/>
              <w:spacing w:before="0" w:after="283"/>
              <w:jc w:val="left"/>
              <w:rPr/>
            </w:pPr>
            <w:r>
              <w:rPr/>
              <w:t>Chief Executive Officer of BVF II GP LLC, General Partner of Biotechnology Value Fund 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44 Montgomery St, 40th Floor</w:t>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San Francisco, CA 94104</w:t>
            </w:r>
          </w:p>
        </w:tc>
      </w:tr>
      <w:tr>
        <w:trPr/>
        <w:tc>
          <w:tcPr>
            <w:tcW w:w="4082" w:type="dxa"/>
            <w:gridSpan w:val="3"/>
            <w:tcBorders/>
          </w:tcPr>
          <w:p>
            <w:pPr>
              <w:pStyle w:val="TableContents"/>
              <w:bidi w:val="0"/>
              <w:spacing w:before="0" w:after="283"/>
              <w:jc w:val="left"/>
              <w:rPr/>
            </w:pPr>
            <w:r>
              <w:rPr/>
              <w:t>Address for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Telephone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E-mail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James Kratky</w:t>
            </w:r>
          </w:p>
        </w:tc>
      </w:tr>
      <w:tr>
        <w:trPr/>
        <w:tc>
          <w:tcPr>
            <w:tcW w:w="4082" w:type="dxa"/>
            <w:gridSpan w:val="3"/>
            <w:tcBorders/>
          </w:tcPr>
          <w:p>
            <w:pPr>
              <w:pStyle w:val="TableContents"/>
              <w:bidi w:val="0"/>
              <w:spacing w:before="0" w:after="283"/>
              <w:jc w:val="left"/>
              <w:rPr/>
            </w:pPr>
            <w:r>
              <w:rPr/>
              <w:t>Attention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Biotechnology Value Fund II, L.P.</w:t>
            </w:r>
          </w:p>
        </w:tc>
      </w:tr>
      <w:tr>
        <w:trPr/>
        <w:tc>
          <w:tcPr>
            <w:tcW w:w="4082" w:type="dxa"/>
            <w:gridSpan w:val="3"/>
            <w:tcBorders/>
          </w:tcPr>
          <w:p>
            <w:pPr>
              <w:pStyle w:val="TableContents"/>
              <w:bidi w:val="0"/>
              <w:spacing w:before="0" w:after="283"/>
              <w:jc w:val="left"/>
              <w:rPr/>
            </w:pPr>
            <w:r>
              <w:rPr/>
              <w:t>Name in which Securities are to be registered: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Subscription Amount: $ 4,877,581.73</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Shares: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Pre-Funded Warrants: 282,760</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EIN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Biotechnology Value Trading Fund OS LP</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4" w:type="dxa"/>
            <w:tcBorders>
              <w:bottom w:val="single" w:sz="2" w:space="0" w:color="000000"/>
            </w:tcBorders>
            <w:tcMar>
              <w:bottom w:w="28" w:type="dxa"/>
            </w:tcMar>
            <w:vAlign w:val="bottom"/>
          </w:tcPr>
          <w:p>
            <w:pPr>
              <w:pStyle w:val="TableContents"/>
              <w:bidi w:val="0"/>
              <w:spacing w:before="0" w:after="283"/>
              <w:jc w:val="left"/>
              <w:rPr>
                <w:i/>
              </w:rPr>
            </w:pPr>
            <w:r>
              <w:rPr>
                <w:i/>
              </w:rPr>
              <w:t>/s/ Mark Lampert</w:t>
            </w:r>
          </w:p>
        </w:tc>
      </w:tr>
      <w:tr>
        <w:trPr/>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vAlign w:val="bottom"/>
          </w:tcPr>
          <w:p>
            <w:pPr>
              <w:pStyle w:val="TableContents"/>
              <w:bidi w:val="0"/>
              <w:spacing w:before="0" w:after="283"/>
              <w:jc w:val="left"/>
              <w:rPr/>
            </w:pPr>
            <w:r>
              <w:rPr/>
              <w:t>Mark Lampert</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vAlign w:val="bottom"/>
          </w:tcPr>
          <w:p>
            <w:pPr>
              <w:pStyle w:val="TableContents"/>
              <w:bidi w:val="0"/>
              <w:spacing w:before="0" w:after="283"/>
              <w:jc w:val="left"/>
              <w:rPr/>
            </w:pPr>
            <w:r>
              <w:rPr/>
              <w:t>President of BVF Inc., General Partner of BVF Partners, LP, Sole Member of BVF Partners OS LTD., General Partner of Biotechnology Value Trading Fund OS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44 Montgomery St, 40th Floor</w:t>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San Francisco, CA 94104</w:t>
            </w:r>
          </w:p>
        </w:tc>
      </w:tr>
      <w:tr>
        <w:trPr/>
        <w:tc>
          <w:tcPr>
            <w:tcW w:w="4082" w:type="dxa"/>
            <w:gridSpan w:val="3"/>
            <w:tcBorders/>
          </w:tcPr>
          <w:p>
            <w:pPr>
              <w:pStyle w:val="TableContents"/>
              <w:bidi w:val="0"/>
              <w:spacing w:before="0" w:after="283"/>
              <w:jc w:val="left"/>
              <w:rPr/>
            </w:pPr>
            <w:r>
              <w:rPr/>
              <w:t>Address for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Telephone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E-mail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James Kratky</w:t>
            </w:r>
          </w:p>
        </w:tc>
      </w:tr>
      <w:tr>
        <w:trPr/>
        <w:tc>
          <w:tcPr>
            <w:tcW w:w="4082" w:type="dxa"/>
            <w:gridSpan w:val="3"/>
            <w:tcBorders/>
          </w:tcPr>
          <w:p>
            <w:pPr>
              <w:pStyle w:val="TableContents"/>
              <w:bidi w:val="0"/>
              <w:spacing w:before="0" w:after="283"/>
              <w:jc w:val="left"/>
              <w:rPr/>
            </w:pPr>
            <w:r>
              <w:rPr/>
              <w:t>Attention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Biotechnology Value Trading Fund OS LP</w:t>
            </w:r>
          </w:p>
        </w:tc>
      </w:tr>
      <w:tr>
        <w:trPr/>
        <w:tc>
          <w:tcPr>
            <w:tcW w:w="4082" w:type="dxa"/>
            <w:gridSpan w:val="3"/>
            <w:tcBorders/>
          </w:tcPr>
          <w:p>
            <w:pPr>
              <w:pStyle w:val="TableContents"/>
              <w:bidi w:val="0"/>
              <w:spacing w:before="0" w:after="283"/>
              <w:jc w:val="left"/>
              <w:rPr/>
            </w:pPr>
            <w:r>
              <w:rPr/>
              <w:t>Name in which Securities are to be registered: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Subscription Amount: $ 784,939.45</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Shares: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Pre-Funded Warrants: 45,504</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EIN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77"/>
        <w:gridCol w:w="61"/>
        <w:gridCol w:w="3344"/>
      </w:tblGrid>
      <w:tr>
        <w:trPr/>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MSI BVF SPV, LLC</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vAlign w:val="bottom"/>
          </w:tcPr>
          <w:p>
            <w:pPr>
              <w:pStyle w:val="TableContents"/>
              <w:bidi w:val="0"/>
              <w:spacing w:before="0" w:after="283"/>
              <w:jc w:val="left"/>
              <w:rPr>
                <w:i/>
              </w:rPr>
            </w:pPr>
            <w:r>
              <w:rPr>
                <w:i/>
              </w:rPr>
              <w:t>/s/ Mark Lampert</w:t>
            </w:r>
          </w:p>
        </w:tc>
      </w:tr>
      <w:tr>
        <w:trPr/>
        <w:tc>
          <w:tcPr>
            <w:tcW w:w="677"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Mark Lampert</w:t>
            </w:r>
          </w:p>
        </w:tc>
      </w:tr>
      <w:tr>
        <w:trPr/>
        <w:tc>
          <w:tcPr>
            <w:tcW w:w="677"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President of BVF Inc., General Partner of BVF Partners, LP, Attorney in Fact of MSI BVF SPV,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44 Montgomery St, 40th Floor</w:t>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San Francisco, CA 94104</w:t>
            </w:r>
          </w:p>
        </w:tc>
      </w:tr>
      <w:tr>
        <w:trPr/>
        <w:tc>
          <w:tcPr>
            <w:tcW w:w="4082" w:type="dxa"/>
            <w:gridSpan w:val="3"/>
            <w:tcBorders/>
          </w:tcPr>
          <w:p>
            <w:pPr>
              <w:pStyle w:val="TableContents"/>
              <w:bidi w:val="0"/>
              <w:spacing w:before="0" w:after="283"/>
              <w:jc w:val="left"/>
              <w:rPr/>
            </w:pPr>
            <w:r>
              <w:rPr/>
              <w:t>Address for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Telephone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E-mail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James Kratky</w:t>
            </w:r>
          </w:p>
        </w:tc>
      </w:tr>
      <w:tr>
        <w:trPr/>
        <w:tc>
          <w:tcPr>
            <w:tcW w:w="4082" w:type="dxa"/>
            <w:gridSpan w:val="3"/>
            <w:tcBorders/>
          </w:tcPr>
          <w:p>
            <w:pPr>
              <w:pStyle w:val="TableContents"/>
              <w:bidi w:val="0"/>
              <w:spacing w:before="0" w:after="283"/>
              <w:jc w:val="left"/>
              <w:rPr/>
            </w:pPr>
            <w:r>
              <w:rPr/>
              <w:t>Attention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MSI BVF SPV, LLC</w:t>
            </w:r>
          </w:p>
        </w:tc>
      </w:tr>
      <w:tr>
        <w:trPr/>
        <w:tc>
          <w:tcPr>
            <w:tcW w:w="4082" w:type="dxa"/>
            <w:gridSpan w:val="3"/>
            <w:tcBorders/>
          </w:tcPr>
          <w:p>
            <w:pPr>
              <w:pStyle w:val="TableContents"/>
              <w:bidi w:val="0"/>
              <w:spacing w:before="0" w:after="283"/>
              <w:jc w:val="left"/>
              <w:rPr/>
            </w:pPr>
            <w:r>
              <w:rPr/>
              <w:t>Name in which Securities are to be registered: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Subscription Amount: $ 146,417.16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Shares: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Pre-Funded Warrants: 8,488</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EIN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DEERFIELD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Deerfield Mgmt,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J.E. Flynn Capital,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i/>
              </w:rPr>
            </w:pPr>
            <w:r>
              <w:rPr>
                <w:i/>
              </w:rPr>
              <w:t>/s/ David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David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345 Park Avenue South</w:t>
            </w:r>
          </w:p>
          <w:p>
            <w:pPr>
              <w:pStyle w:val="TableContents"/>
              <w:bidi w:val="0"/>
              <w:spacing w:before="0" w:after="20"/>
              <w:jc w:val="left"/>
              <w:rPr>
                <w:rFonts w:ascii="Times New Roman" w:hAnsi="Times New Roman"/>
                <w:sz w:val="20"/>
              </w:rPr>
            </w:pPr>
            <w:r>
              <w:rPr>
                <w:rFonts w:ascii="Times New Roman" w:hAnsi="Times New Roman"/>
                <w:sz w:val="20"/>
              </w:rPr>
              <w:t>11th Floor</w:t>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New York, NY 10010</w:t>
            </w:r>
          </w:p>
        </w:tc>
      </w:tr>
      <w:tr>
        <w:trPr/>
        <w:tc>
          <w:tcPr>
            <w:tcW w:w="4082" w:type="dxa"/>
            <w:gridSpan w:val="3"/>
            <w:tcBorders/>
          </w:tcPr>
          <w:p>
            <w:pPr>
              <w:pStyle w:val="TableContents"/>
              <w:bidi w:val="0"/>
              <w:spacing w:before="0" w:after="283"/>
              <w:jc w:val="left"/>
              <w:rPr/>
            </w:pPr>
            <w:r>
              <w:rPr/>
              <w:t>Address for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Telephone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E-mail 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Legal Department</w:t>
            </w:r>
          </w:p>
        </w:tc>
      </w:tr>
      <w:tr>
        <w:trPr/>
        <w:tc>
          <w:tcPr>
            <w:tcW w:w="4082" w:type="dxa"/>
            <w:gridSpan w:val="3"/>
            <w:tcBorders/>
          </w:tcPr>
          <w:p>
            <w:pPr>
              <w:pStyle w:val="TableContents"/>
              <w:bidi w:val="0"/>
              <w:spacing w:before="0" w:after="283"/>
              <w:jc w:val="left"/>
              <w:rPr/>
            </w:pPr>
            <w:r>
              <w:rPr/>
              <w:t>Attention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Deerfield Partners, L.P.</w:t>
            </w:r>
          </w:p>
        </w:tc>
      </w:tr>
      <w:tr>
        <w:trPr/>
        <w:tc>
          <w:tcPr>
            <w:tcW w:w="4082" w:type="dxa"/>
            <w:gridSpan w:val="3"/>
            <w:tcBorders/>
          </w:tcPr>
          <w:p>
            <w:pPr>
              <w:pStyle w:val="TableContents"/>
              <w:bidi w:val="0"/>
              <w:spacing w:before="0" w:after="283"/>
              <w:jc w:val="left"/>
              <w:rPr/>
            </w:pPr>
            <w:r>
              <w:rPr/>
              <w:t>Name in which Securities are to be registered: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Subscription Amount: $ 14,500,014.73</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Shares: 420,290</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Pre-Funded Warrants: 420,293</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EIN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 Suvretta Capital Management, LLC, as investment manager to the Purchasers listed herein</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vAlign w:val="bottom"/>
          </w:tcPr>
          <w:p>
            <w:pPr>
              <w:pStyle w:val="TableContents"/>
              <w:bidi w:val="0"/>
              <w:spacing w:before="0" w:after="283"/>
              <w:jc w:val="left"/>
              <w:rPr>
                <w:i/>
              </w:rPr>
            </w:pPr>
            <w:r>
              <w:rPr>
                <w:i/>
              </w:rPr>
              <w:t>/s/ Andrew Nathanson</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Andrew Nathanson</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GC/CCO</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540 Madison Avenue, 7th Floor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New York, NY 10022</w:t>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Attn: Legal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Address for Notice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Telephone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E-mail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Andrew Nathanson, GC/CCO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Attention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Averill Master Fund, Ltd.</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in which Securities are to be registered: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Subscription Amount: $12,339,618.69</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Shares: 579,711</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Warrants: 135,630</w:t>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EIN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Averill Madison Master Fund, Ltd.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Subscription Amount: $2,160,411.98</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Shares: 0</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Warrants: 125,242</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EIN</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77"/>
        <w:gridCol w:w="61"/>
        <w:gridCol w:w="3344"/>
      </w:tblGrid>
      <w:tr>
        <w:trPr/>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Invus Public Equities, L.P.</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vAlign w:val="bottom"/>
          </w:tcPr>
          <w:p>
            <w:pPr>
              <w:pStyle w:val="TableContents"/>
              <w:bidi w:val="0"/>
              <w:spacing w:before="0" w:after="283"/>
              <w:jc w:val="left"/>
              <w:rPr>
                <w:i/>
              </w:rPr>
            </w:pPr>
            <w:r>
              <w:rPr>
                <w:i/>
              </w:rPr>
              <w:t>/s/ Khalil Barrage</w:t>
            </w:r>
          </w:p>
        </w:tc>
      </w:tr>
      <w:tr>
        <w:trPr/>
        <w:tc>
          <w:tcPr>
            <w:tcW w:w="677"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Khalil Barrage</w:t>
            </w:r>
          </w:p>
        </w:tc>
      </w:tr>
      <w:tr>
        <w:trPr/>
        <w:tc>
          <w:tcPr>
            <w:tcW w:w="677"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Vice President of the General Partner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750 Lexington Ave, 30th FL</w:t>
            </w:r>
          </w:p>
        </w:tc>
      </w:tr>
      <w:tr>
        <w:trPr/>
        <w:tc>
          <w:tcPr>
            <w:tcW w:w="4082" w:type="dxa"/>
            <w:tcBorders>
              <w:bottom w:val="single" w:sz="2" w:space="0" w:color="000000"/>
            </w:tcBorders>
            <w:tcMar>
              <w:bottom w:w="28" w:type="dxa"/>
            </w:tcMar>
          </w:tcPr>
          <w:p>
            <w:pPr>
              <w:pStyle w:val="TableContents"/>
              <w:bidi w:val="0"/>
              <w:spacing w:before="0" w:after="283"/>
              <w:jc w:val="left"/>
              <w:rPr/>
            </w:pPr>
            <w:r>
              <w:rPr/>
              <w:t>New York, NY 10022</w:t>
            </w:r>
          </w:p>
        </w:tc>
      </w:tr>
      <w:tr>
        <w:trPr/>
        <w:tc>
          <w:tcPr>
            <w:tcW w:w="4082" w:type="dxa"/>
            <w:tcBorders/>
          </w:tcPr>
          <w:p>
            <w:pPr>
              <w:pStyle w:val="TableContents"/>
              <w:bidi w:val="0"/>
              <w:spacing w:before="0" w:after="283"/>
              <w:jc w:val="left"/>
              <w:rPr/>
            </w:pPr>
            <w:r>
              <w:rPr/>
              <w:t>Address for Notice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Telephone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E-mail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Vanessa Lopera-Madrid</w:t>
            </w:r>
          </w:p>
        </w:tc>
      </w:tr>
      <w:tr>
        <w:trPr/>
        <w:tc>
          <w:tcPr>
            <w:tcW w:w="4082" w:type="dxa"/>
            <w:tcBorders/>
          </w:tcPr>
          <w:p>
            <w:pPr>
              <w:pStyle w:val="TableContents"/>
              <w:bidi w:val="0"/>
              <w:spacing w:before="0" w:after="283"/>
              <w:jc w:val="left"/>
              <w:rPr/>
            </w:pPr>
            <w:r>
              <w:rPr/>
              <w:t>Attention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Invus Public Equities, L.P.</w:t>
            </w:r>
          </w:p>
        </w:tc>
      </w:tr>
      <w:tr>
        <w:trPr/>
        <w:tc>
          <w:tcPr>
            <w:tcW w:w="4082" w:type="dxa"/>
            <w:tcBorders/>
          </w:tcPr>
          <w:p>
            <w:pPr>
              <w:pStyle w:val="TableContents"/>
              <w:bidi w:val="0"/>
              <w:spacing w:before="0" w:after="283"/>
              <w:jc w:val="left"/>
              <w:rPr/>
            </w:pPr>
            <w:r>
              <w:rPr/>
              <w:t>Name in which Securities are to be registered: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Subscription Amount: $ 6,500,007.00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Shares: 376,812</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Pre-Funded Warrants: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EIN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Purchasers </w:t>
      </w:r>
    </w:p>
    <w:p>
      <w:pPr>
        <w:pStyle w:val="TextBody"/>
        <w:bidi w:val="0"/>
        <w:spacing w:before="0" w:after="0"/>
        <w:jc w:val="left"/>
        <w:rPr/>
      </w:pPr>
      <w:r>
        <w:rPr/>
        <w:t> </w:t>
      </w:r>
    </w:p>
    <w:tbl>
      <w:tblPr>
        <w:tblW w:w="10745" w:type="dxa"/>
        <w:jc w:val="center"/>
        <w:tblInd w:w="0" w:type="dxa"/>
        <w:tblLayout w:type="fixed"/>
        <w:tblCellMar>
          <w:top w:w="0" w:type="dxa"/>
          <w:left w:w="0" w:type="dxa"/>
          <w:bottom w:w="0" w:type="dxa"/>
          <w:right w:w="0" w:type="dxa"/>
        </w:tblCellMar>
      </w:tblPr>
      <w:tblGrid>
        <w:gridCol w:w="2150"/>
        <w:gridCol w:w="120"/>
        <w:gridCol w:w="330"/>
        <w:gridCol w:w="770"/>
        <w:gridCol w:w="60"/>
        <w:gridCol w:w="120"/>
        <w:gridCol w:w="519"/>
        <w:gridCol w:w="1211"/>
        <w:gridCol w:w="60"/>
        <w:gridCol w:w="120"/>
        <w:gridCol w:w="72"/>
        <w:gridCol w:w="1178"/>
        <w:gridCol w:w="60"/>
        <w:gridCol w:w="120"/>
        <w:gridCol w:w="140"/>
        <w:gridCol w:w="1400"/>
        <w:gridCol w:w="60"/>
        <w:gridCol w:w="120"/>
        <w:gridCol w:w="188"/>
        <w:gridCol w:w="1887"/>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Purchaser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Address/Contact Information</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w:t>
              <w:br/>
              <w:t>Purchase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 of</w:t>
              <w:br/>
              <w:t>Pre-Funded</w:t>
              <w:br/>
              <w:t>Warrants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Purchase</w:t>
              <w:br/>
              <w:t>Price of Securities</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EcoR1 Capital Fund Qualified Fund, L.P.</w:t>
            </w:r>
          </w:p>
          <w:p>
            <w:pPr>
              <w:pStyle w:val="TableContents"/>
              <w:bidi w:val="0"/>
              <w:spacing w:before="0" w:after="0"/>
              <w:jc w:val="left"/>
              <w:rPr>
                <w:rFonts w:ascii="Times New Roman" w:hAnsi="Times New Roman"/>
                <w:sz w:val="20"/>
              </w:rPr>
            </w:pPr>
            <w:r>
              <w:rPr>
                <w:rFonts w:ascii="Times New Roman" w:hAnsi="Times New Roman"/>
                <w:sz w:val="20"/>
              </w:rPr>
              <w:t>Address: 357 Tehama Street #3,</w:t>
            </w:r>
          </w:p>
          <w:p>
            <w:pPr>
              <w:pStyle w:val="TableContents"/>
              <w:bidi w:val="0"/>
              <w:spacing w:before="0" w:after="0"/>
              <w:jc w:val="left"/>
              <w:rPr>
                <w:rFonts w:ascii="Times New Roman" w:hAnsi="Times New Roman"/>
                <w:sz w:val="20"/>
              </w:rPr>
            </w:pPr>
            <w:r>
              <w:rPr>
                <w:rFonts w:ascii="Times New Roman" w:hAnsi="Times New Roman"/>
                <w:sz w:val="20"/>
              </w:rPr>
              <w:t>San Francisco, CA 94103</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Scott Perlen</w:t>
            </w:r>
          </w:p>
        </w:tc>
        <w:tc>
          <w:tcPr>
            <w:tcW w:w="12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5,469,598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94,350,018.55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94,350,018.55</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EcoR1 Capital Fund, L.P.</w:t>
            </w:r>
          </w:p>
          <w:p>
            <w:pPr>
              <w:pStyle w:val="TableContents"/>
              <w:bidi w:val="0"/>
              <w:spacing w:before="0" w:after="0"/>
              <w:jc w:val="left"/>
              <w:rPr>
                <w:rFonts w:ascii="Times New Roman" w:hAnsi="Times New Roman"/>
                <w:sz w:val="20"/>
              </w:rPr>
            </w:pPr>
            <w:r>
              <w:rPr>
                <w:rFonts w:ascii="Times New Roman" w:hAnsi="Times New Roman"/>
                <w:sz w:val="20"/>
              </w:rPr>
              <w:t>Address: 357 Tehama Street #3,</w:t>
            </w:r>
          </w:p>
          <w:p>
            <w:pPr>
              <w:pStyle w:val="TableContents"/>
              <w:bidi w:val="0"/>
              <w:spacing w:before="0" w:after="0"/>
              <w:jc w:val="left"/>
              <w:rPr>
                <w:rFonts w:ascii="Times New Roman" w:hAnsi="Times New Roman"/>
                <w:sz w:val="20"/>
              </w:rPr>
            </w:pPr>
            <w:r>
              <w:rPr>
                <w:rFonts w:ascii="Times New Roman" w:hAnsi="Times New Roman"/>
                <w:sz w:val="20"/>
              </w:rPr>
              <w:t>San Francisco, CA 94103</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Scott Perlen</w:t>
            </w:r>
          </w:p>
        </w:tc>
        <w:tc>
          <w:tcPr>
            <w:tcW w:w="12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327,538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5,649,997.75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5,649,997.75</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Biotechnology Value Fund, L.P.</w:t>
            </w:r>
          </w:p>
          <w:p>
            <w:pPr>
              <w:pStyle w:val="TableContents"/>
              <w:bidi w:val="0"/>
              <w:spacing w:before="0" w:after="0"/>
              <w:jc w:val="left"/>
              <w:rPr>
                <w:rFonts w:ascii="Times New Roman" w:hAnsi="Times New Roman"/>
                <w:sz w:val="20"/>
              </w:rPr>
            </w:pPr>
            <w:r>
              <w:rPr>
                <w:rFonts w:ascii="Times New Roman" w:hAnsi="Times New Roman"/>
                <w:sz w:val="20"/>
              </w:rPr>
              <w:t>Address: 44 Montgomery Street,</w:t>
            </w:r>
          </w:p>
          <w:p>
            <w:pPr>
              <w:pStyle w:val="TableContents"/>
              <w:bidi w:val="0"/>
              <w:spacing w:before="0" w:after="0"/>
              <w:jc w:val="left"/>
              <w:rPr>
                <w:rFonts w:ascii="Times New Roman" w:hAnsi="Times New Roman"/>
                <w:sz w:val="20"/>
              </w:rPr>
            </w:pPr>
            <w:r>
              <w:rPr>
                <w:rFonts w:ascii="Times New Roman" w:hAnsi="Times New Roman"/>
                <w:sz w:val="20"/>
              </w:rPr>
              <w:t>40th Floor, San Francisco, CA 94104</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James Kratky</w:t>
            </w:r>
          </w:p>
        </w:tc>
        <w:tc>
          <w:tcPr>
            <w:tcW w:w="12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503,833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8,691,068.87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8,691,068.87</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Biotechnology Value Fund II, L.P.</w:t>
            </w:r>
          </w:p>
          <w:p>
            <w:pPr>
              <w:pStyle w:val="TableContents"/>
              <w:bidi w:val="0"/>
              <w:spacing w:before="0" w:after="0"/>
              <w:jc w:val="left"/>
              <w:rPr>
                <w:rFonts w:ascii="Times New Roman" w:hAnsi="Times New Roman"/>
                <w:sz w:val="20"/>
              </w:rPr>
            </w:pPr>
            <w:r>
              <w:rPr>
                <w:rFonts w:ascii="Times New Roman" w:hAnsi="Times New Roman"/>
                <w:sz w:val="20"/>
              </w:rPr>
              <w:t>Address: 44 Montgomery Street,</w:t>
            </w:r>
          </w:p>
          <w:p>
            <w:pPr>
              <w:pStyle w:val="TableContents"/>
              <w:bidi w:val="0"/>
              <w:spacing w:before="0" w:after="0"/>
              <w:jc w:val="left"/>
              <w:rPr>
                <w:rFonts w:ascii="Times New Roman" w:hAnsi="Times New Roman"/>
                <w:sz w:val="20"/>
              </w:rPr>
            </w:pPr>
            <w:r>
              <w:rPr>
                <w:rFonts w:ascii="Times New Roman" w:hAnsi="Times New Roman"/>
                <w:sz w:val="20"/>
              </w:rPr>
              <w:t>40th Floor, San Francisco, CA 94104</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James Kratky</w:t>
            </w:r>
          </w:p>
        </w:tc>
        <w:tc>
          <w:tcPr>
            <w:tcW w:w="12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282,760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4,877,581.73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4,877,581.73</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435" w:type="dxa"/>
        <w:jc w:val="center"/>
        <w:tblInd w:w="0" w:type="dxa"/>
        <w:tblLayout w:type="fixed"/>
        <w:tblCellMar>
          <w:top w:w="0" w:type="dxa"/>
          <w:left w:w="0" w:type="dxa"/>
          <w:bottom w:w="0" w:type="dxa"/>
          <w:right w:w="0" w:type="dxa"/>
        </w:tblCellMar>
      </w:tblPr>
      <w:tblGrid>
        <w:gridCol w:w="2150"/>
        <w:gridCol w:w="120"/>
        <w:gridCol w:w="76"/>
        <w:gridCol w:w="1024"/>
        <w:gridCol w:w="60"/>
        <w:gridCol w:w="120"/>
        <w:gridCol w:w="140"/>
        <w:gridCol w:w="1400"/>
        <w:gridCol w:w="60"/>
        <w:gridCol w:w="120"/>
        <w:gridCol w:w="87"/>
        <w:gridCol w:w="1163"/>
        <w:gridCol w:w="60"/>
        <w:gridCol w:w="120"/>
        <w:gridCol w:w="140"/>
        <w:gridCol w:w="1280"/>
        <w:gridCol w:w="60"/>
        <w:gridCol w:w="120"/>
        <w:gridCol w:w="188"/>
        <w:gridCol w:w="1887"/>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Purchaser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Address/Contact Information</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w:t>
              <w:br/>
              <w:t>Purchase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br/>
              <w:t>of Pre-Funded</w:t>
              <w:br/>
              <w:t>Warrants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Purchase</w:t>
              <w:br/>
              <w:t>Price of Securities</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Biotechnology Value Trading Fund OS LP</w:t>
            </w:r>
          </w:p>
          <w:p>
            <w:pPr>
              <w:pStyle w:val="TableContents"/>
              <w:bidi w:val="0"/>
              <w:spacing w:before="0" w:after="0"/>
              <w:jc w:val="left"/>
              <w:rPr>
                <w:rFonts w:ascii="Times New Roman" w:hAnsi="Times New Roman"/>
                <w:sz w:val="20"/>
              </w:rPr>
            </w:pPr>
            <w:r>
              <w:rPr>
                <w:rFonts w:ascii="Times New Roman" w:hAnsi="Times New Roman"/>
                <w:sz w:val="20"/>
              </w:rPr>
              <w:t>Address: 44 Montgomery Street,</w:t>
            </w:r>
          </w:p>
          <w:p>
            <w:pPr>
              <w:pStyle w:val="TableContents"/>
              <w:bidi w:val="0"/>
              <w:spacing w:before="0" w:after="0"/>
              <w:jc w:val="left"/>
              <w:rPr>
                <w:rFonts w:ascii="Times New Roman" w:hAnsi="Times New Roman"/>
                <w:sz w:val="20"/>
              </w:rPr>
            </w:pPr>
            <w:r>
              <w:rPr>
                <w:rFonts w:ascii="Times New Roman" w:hAnsi="Times New Roman"/>
                <w:sz w:val="20"/>
              </w:rPr>
              <w:t>40th Floor, San Francisco, CA 94104</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James Kratky</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45,504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784,939.45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784,939.45</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MSI BVF SPV, LLC</w:t>
            </w:r>
          </w:p>
          <w:p>
            <w:pPr>
              <w:pStyle w:val="TableContents"/>
              <w:bidi w:val="0"/>
              <w:spacing w:before="0" w:after="0"/>
              <w:jc w:val="left"/>
              <w:rPr>
                <w:rFonts w:ascii="Times New Roman" w:hAnsi="Times New Roman"/>
                <w:sz w:val="20"/>
              </w:rPr>
            </w:pPr>
            <w:r>
              <w:rPr>
                <w:rFonts w:ascii="Times New Roman" w:hAnsi="Times New Roman"/>
                <w:sz w:val="20"/>
              </w:rPr>
              <w:t>Address: 44 Montgomery Street,</w:t>
            </w:r>
          </w:p>
          <w:p>
            <w:pPr>
              <w:pStyle w:val="TableContents"/>
              <w:bidi w:val="0"/>
              <w:spacing w:before="0" w:after="0"/>
              <w:jc w:val="left"/>
              <w:rPr>
                <w:rFonts w:ascii="Times New Roman" w:hAnsi="Times New Roman"/>
                <w:sz w:val="20"/>
              </w:rPr>
            </w:pPr>
            <w:r>
              <w:rPr>
                <w:rFonts w:ascii="Times New Roman" w:hAnsi="Times New Roman"/>
                <w:sz w:val="20"/>
              </w:rPr>
              <w:t>40th Floor, San Francisco, CA 94104</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James Kratky</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8,488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146,417.16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146,417.16</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Deerfield Partners, L.P.</w:t>
            </w:r>
          </w:p>
          <w:p>
            <w:pPr>
              <w:pStyle w:val="TableContents"/>
              <w:bidi w:val="0"/>
              <w:spacing w:before="0" w:after="0"/>
              <w:jc w:val="left"/>
              <w:rPr>
                <w:rFonts w:ascii="Times New Roman" w:hAnsi="Times New Roman"/>
                <w:sz w:val="20"/>
              </w:rPr>
            </w:pPr>
            <w:r>
              <w:rPr>
                <w:rFonts w:ascii="Times New Roman" w:hAnsi="Times New Roman"/>
                <w:sz w:val="20"/>
              </w:rPr>
              <w:t>Address: 345 Park Avenue South, 11th Floor, New York, NY 10010</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Legal Department</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420,290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7,250,002.50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420,293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7,250,012.23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14,500,014.73</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Averill Master Fund,</w:t>
            </w:r>
          </w:p>
          <w:p>
            <w:pPr>
              <w:pStyle w:val="TableContents"/>
              <w:bidi w:val="0"/>
              <w:spacing w:before="0" w:after="0"/>
              <w:jc w:val="left"/>
              <w:rPr>
                <w:rFonts w:ascii="Times New Roman" w:hAnsi="Times New Roman"/>
                <w:sz w:val="20"/>
              </w:rPr>
            </w:pPr>
            <w:r>
              <w:rPr>
                <w:rFonts w:ascii="Times New Roman" w:hAnsi="Times New Roman"/>
                <w:sz w:val="20"/>
              </w:rPr>
              <w:t>Ltd., c/o Suvretta Capital</w:t>
            </w:r>
          </w:p>
          <w:p>
            <w:pPr>
              <w:pStyle w:val="TableContents"/>
              <w:bidi w:val="0"/>
              <w:spacing w:before="0" w:after="0"/>
              <w:jc w:val="left"/>
              <w:rPr>
                <w:rFonts w:ascii="Times New Roman" w:hAnsi="Times New Roman"/>
                <w:sz w:val="20"/>
              </w:rPr>
            </w:pPr>
            <w:r>
              <w:rPr>
                <w:rFonts w:ascii="Times New Roman" w:hAnsi="Times New Roman"/>
                <w:sz w:val="20"/>
              </w:rPr>
              <w:t>Management, LLC</w:t>
            </w:r>
          </w:p>
          <w:p>
            <w:pPr>
              <w:pStyle w:val="TableContents"/>
              <w:bidi w:val="0"/>
              <w:spacing w:before="0" w:after="0"/>
              <w:jc w:val="left"/>
              <w:rPr>
                <w:rFonts w:ascii="Times New Roman" w:hAnsi="Times New Roman"/>
                <w:sz w:val="20"/>
              </w:rPr>
            </w:pPr>
            <w:r>
              <w:rPr>
                <w:rFonts w:ascii="Times New Roman" w:hAnsi="Times New Roman"/>
                <w:sz w:val="20"/>
              </w:rPr>
              <w:t>Address: 540 Madison Avenue,</w:t>
            </w:r>
          </w:p>
          <w:p>
            <w:pPr>
              <w:pStyle w:val="TableContents"/>
              <w:bidi w:val="0"/>
              <w:spacing w:before="0" w:after="0"/>
              <w:jc w:val="left"/>
              <w:rPr>
                <w:rFonts w:ascii="Times New Roman" w:hAnsi="Times New Roman"/>
                <w:sz w:val="20"/>
              </w:rPr>
            </w:pPr>
            <w:r>
              <w:rPr>
                <w:rFonts w:ascii="Times New Roman" w:hAnsi="Times New Roman"/>
                <w:sz w:val="20"/>
              </w:rPr>
              <w:t>7th Floor, New York, NY 10022</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Andrew Nathanson</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579,711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10,000,014.75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135,630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2,339,603.94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12,339,618.69</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Averill Madison Master Fund,</w:t>
            </w:r>
          </w:p>
          <w:p>
            <w:pPr>
              <w:pStyle w:val="TableContents"/>
              <w:bidi w:val="0"/>
              <w:spacing w:before="0" w:after="0"/>
              <w:jc w:val="left"/>
              <w:rPr>
                <w:rFonts w:ascii="Times New Roman" w:hAnsi="Times New Roman"/>
                <w:sz w:val="20"/>
              </w:rPr>
            </w:pPr>
            <w:r>
              <w:rPr>
                <w:rFonts w:ascii="Times New Roman" w:hAnsi="Times New Roman"/>
                <w:sz w:val="20"/>
              </w:rPr>
              <w:t>Ltd., c/o Suvretta Capital Management, LLC</w:t>
            </w:r>
          </w:p>
          <w:p>
            <w:pPr>
              <w:pStyle w:val="TableContents"/>
              <w:bidi w:val="0"/>
              <w:spacing w:before="0" w:after="0"/>
              <w:jc w:val="left"/>
              <w:rPr>
                <w:rFonts w:ascii="Times New Roman" w:hAnsi="Times New Roman"/>
                <w:sz w:val="20"/>
              </w:rPr>
            </w:pPr>
            <w:r>
              <w:rPr>
                <w:rFonts w:ascii="Times New Roman" w:hAnsi="Times New Roman"/>
                <w:sz w:val="20"/>
              </w:rPr>
              <w:t>Address: 540 Madison Avenue,</w:t>
            </w:r>
          </w:p>
          <w:p>
            <w:pPr>
              <w:pStyle w:val="TableContents"/>
              <w:bidi w:val="0"/>
              <w:spacing w:before="0" w:after="0"/>
              <w:jc w:val="left"/>
              <w:rPr>
                <w:rFonts w:ascii="Times New Roman" w:hAnsi="Times New Roman"/>
                <w:sz w:val="20"/>
              </w:rPr>
            </w:pPr>
            <w:r>
              <w:rPr>
                <w:rFonts w:ascii="Times New Roman" w:hAnsi="Times New Roman"/>
                <w:sz w:val="20"/>
              </w:rPr>
              <w:t>7th Floor, New York, NY 10022</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Andrew Nathanson</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125,242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2,160,411.98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2,160,411.98</w:t>
            </w:r>
          </w:p>
        </w:tc>
        <w:tc>
          <w:tcPr>
            <w:tcW w:w="6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675" w:type="dxa"/>
        <w:jc w:val="center"/>
        <w:tblInd w:w="0" w:type="dxa"/>
        <w:tblLayout w:type="fixed"/>
        <w:tblCellMar>
          <w:top w:w="0" w:type="dxa"/>
          <w:left w:w="0" w:type="dxa"/>
          <w:bottom w:w="0" w:type="dxa"/>
          <w:right w:w="0" w:type="dxa"/>
        </w:tblCellMar>
      </w:tblPr>
      <w:tblGrid>
        <w:gridCol w:w="2150"/>
        <w:gridCol w:w="120"/>
        <w:gridCol w:w="63"/>
        <w:gridCol w:w="1037"/>
        <w:gridCol w:w="60"/>
        <w:gridCol w:w="120"/>
        <w:gridCol w:w="140"/>
        <w:gridCol w:w="1400"/>
        <w:gridCol w:w="60"/>
        <w:gridCol w:w="120"/>
        <w:gridCol w:w="72"/>
        <w:gridCol w:w="1178"/>
        <w:gridCol w:w="60"/>
        <w:gridCol w:w="120"/>
        <w:gridCol w:w="140"/>
        <w:gridCol w:w="1520"/>
        <w:gridCol w:w="60"/>
        <w:gridCol w:w="120"/>
        <w:gridCol w:w="175"/>
        <w:gridCol w:w="1900"/>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Purchaser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Address/Contact Information</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w:t>
              <w:br/>
              <w:t>Purchase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 of</w:t>
              <w:br/>
              <w:t>Pre-Funded</w:t>
              <w:br/>
              <w:t>Warrants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Purchase</w:t>
              <w:br/>
              <w:t>Price of Securities</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Invus Public Equities, L.P.</w:t>
            </w:r>
          </w:p>
          <w:p>
            <w:pPr>
              <w:pStyle w:val="TableContents"/>
              <w:bidi w:val="0"/>
              <w:spacing w:before="0" w:after="0"/>
              <w:jc w:val="left"/>
              <w:rPr>
                <w:rFonts w:ascii="Times New Roman" w:hAnsi="Times New Roman"/>
                <w:sz w:val="20"/>
              </w:rPr>
            </w:pPr>
            <w:r>
              <w:rPr>
                <w:rFonts w:ascii="Times New Roman" w:hAnsi="Times New Roman"/>
                <w:sz w:val="20"/>
              </w:rPr>
              <w:t>Address: 750 Lexington Ave,</w:t>
            </w:r>
          </w:p>
          <w:p>
            <w:pPr>
              <w:pStyle w:val="TableContents"/>
              <w:bidi w:val="0"/>
              <w:spacing w:before="0" w:after="0"/>
              <w:jc w:val="left"/>
              <w:rPr>
                <w:rFonts w:ascii="Times New Roman" w:hAnsi="Times New Roman"/>
                <w:sz w:val="20"/>
              </w:rPr>
            </w:pPr>
            <w:r>
              <w:rPr>
                <w:rFonts w:ascii="Times New Roman" w:hAnsi="Times New Roman"/>
                <w:sz w:val="20"/>
              </w:rPr>
              <w:t>30th Floor, New York, NY 10022</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Vanessa Lopera-Madrid</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376,812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6,500,007.00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900" w:type="dxa"/>
            <w:tcBorders/>
            <w:shd w:fill="CCEEFF" w:val="clear"/>
            <w:vAlign w:val="bottom"/>
          </w:tcPr>
          <w:p>
            <w:pPr>
              <w:pStyle w:val="TableContents"/>
              <w:bidi w:val="0"/>
              <w:spacing w:before="0" w:after="283"/>
              <w:jc w:val="right"/>
              <w:rPr/>
            </w:pPr>
            <w:r>
              <w:rPr/>
              <w:t>6,500,007.00</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1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b/>
              </w:rPr>
            </w:pPr>
            <w:r>
              <w:rPr>
                <w:b/>
              </w:rPr>
              <w:t>1,376,813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400" w:type="dxa"/>
            <w:tcBorders/>
            <w:vAlign w:val="bottom"/>
          </w:tcPr>
          <w:p>
            <w:pPr>
              <w:pStyle w:val="TableContents"/>
              <w:bidi w:val="0"/>
              <w:spacing w:before="0" w:after="283"/>
              <w:jc w:val="right"/>
              <w:rPr>
                <w:b/>
              </w:rPr>
            </w:pPr>
            <w:r>
              <w:rPr>
                <w:b/>
              </w:rPr>
              <w:t>23,750,024.25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b/>
              </w:rPr>
            </w:pPr>
            <w:r>
              <w:rPr>
                <w:b/>
              </w:rPr>
              <w:t>7,318,886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520" w:type="dxa"/>
            <w:tcBorders/>
            <w:vAlign w:val="bottom"/>
          </w:tcPr>
          <w:p>
            <w:pPr>
              <w:pStyle w:val="TableContents"/>
              <w:bidi w:val="0"/>
              <w:spacing w:before="0" w:after="283"/>
              <w:jc w:val="right"/>
              <w:rPr>
                <w:b/>
              </w:rPr>
            </w:pPr>
            <w:r>
              <w:rPr>
                <w:b/>
              </w:rPr>
              <w:t>126,250,051.66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1900" w:type="dxa"/>
            <w:tcBorders/>
            <w:vAlign w:val="bottom"/>
          </w:tcPr>
          <w:p>
            <w:pPr>
              <w:pStyle w:val="TableContents"/>
              <w:bidi w:val="0"/>
              <w:spacing w:before="0" w:after="283"/>
              <w:jc w:val="right"/>
              <w:rPr>
                <w:b/>
              </w:rPr>
            </w:pPr>
            <w:r>
              <w:rPr>
                <w:b/>
              </w:rPr>
              <w:t>150,000,075.91</w:t>
            </w:r>
          </w:p>
        </w:tc>
        <w:tc>
          <w:tcPr>
            <w:tcW w:w="60" w:type="dxa"/>
            <w:tcBorders/>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center"/>
        <w:rPr>
          <w:rFonts w:ascii="Times New Roman" w:hAnsi="Times New Roman"/>
          <w:i/>
          <w:sz w:val="20"/>
        </w:rPr>
      </w:pPr>
      <w:r>
        <w:rPr>
          <w:rFonts w:ascii="Times New Roman" w:hAnsi="Times New Roman"/>
          <w:i/>
          <w:sz w:val="20"/>
        </w:rPr>
        <w:t xml:space="preserve">[Form of Registration Rights Agreement as separately filed]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120" w:after="0"/>
        <w:jc w:val="center"/>
        <w:rPr>
          <w:rFonts w:ascii="Times New Roman" w:hAnsi="Times New Roman"/>
          <w:i/>
          <w:sz w:val="20"/>
        </w:rPr>
      </w:pPr>
      <w:r>
        <w:rPr>
          <w:rFonts w:ascii="Times New Roman" w:hAnsi="Times New Roman"/>
          <w:i/>
          <w:sz w:val="20"/>
        </w:rPr>
        <w:t xml:space="preserve">[Form of Pre-Funded Warrant as separately filed]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KURA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January [], 2024 </w:t>
      </w:r>
    </w:p>
    <w:p>
      <w:pPr>
        <w:pStyle w:val="TextBody"/>
        <w:bidi w:val="0"/>
        <w:spacing w:before="240" w:after="0"/>
        <w:jc w:val="left"/>
        <w:rPr>
          <w:rFonts w:ascii="Times New Roman" w:hAnsi="Times New Roman"/>
          <w:sz w:val="20"/>
        </w:rPr>
      </w:pPr>
      <w:r>
        <w:rPr>
          <w:rFonts w:ascii="Times New Roman" w:hAnsi="Times New Roman"/>
          <w:sz w:val="20"/>
        </w:rPr>
        <w:t xml:space="preserve">Kura Oncology, Inc. </w:t>
      </w:r>
    </w:p>
    <w:p>
      <w:pPr>
        <w:pStyle w:val="TextBody"/>
        <w:bidi w:val="0"/>
        <w:spacing w:before="0" w:after="0"/>
        <w:jc w:val="left"/>
        <w:rPr>
          <w:rFonts w:ascii="Times New Roman" w:hAnsi="Times New Roman"/>
          <w:sz w:val="20"/>
        </w:rPr>
      </w:pPr>
      <w:r>
        <w:rPr>
          <w:rFonts w:ascii="Times New Roman" w:hAnsi="Times New Roman"/>
          <w:sz w:val="20"/>
        </w:rPr>
        <w:t xml:space="preserve">12730 High Bluff Drive, Suite 400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92130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Kura Oncology, Inc.  Lock-Up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you, as purchasers (the </w:t>
      </w:r>
      <w:r>
        <w:rPr>
          <w:rFonts w:ascii="Times New Roman" w:hAnsi="Times New Roman"/>
          <w:b/>
          <w:i/>
          <w:sz w:val="20"/>
        </w:rPr>
        <w:t>Purchasers</w:t>
      </w:r>
      <w:r>
        <w:rPr>
          <w:rFonts w:ascii="Times New Roman" w:hAnsi="Times New Roman"/>
          <w:sz w:val="20"/>
        </w:rPr>
        <w:t>), have entered into that certain Securities Purchase Agreement with Kura Oncology, Inc., a Delaware corporation (the </w:t>
      </w:r>
      <w:r>
        <w:rPr>
          <w:rFonts w:ascii="Times New Roman" w:hAnsi="Times New Roman"/>
          <w:b/>
          <w:i/>
          <w:sz w:val="20"/>
        </w:rPr>
        <w:t>Company</w:t>
      </w:r>
      <w:r>
        <w:rPr>
          <w:rFonts w:ascii="Times New Roman" w:hAnsi="Times New Roman"/>
          <w:sz w:val="20"/>
        </w:rPr>
        <w:t>), dated January [], 2024 (the </w:t>
      </w:r>
      <w:r>
        <w:rPr>
          <w:rFonts w:ascii="Times New Roman" w:hAnsi="Times New Roman"/>
          <w:b/>
          <w:i/>
          <w:sz w:val="20"/>
        </w:rPr>
        <w:t>Purchase Agreement</w:t>
      </w:r>
      <w:r>
        <w:rPr>
          <w:rFonts w:ascii="Times New Roman" w:hAnsi="Times New Roman"/>
          <w:sz w:val="20"/>
        </w:rPr>
        <w:t>), providing for the sale and issuance of shares (the </w:t>
      </w:r>
      <w:r>
        <w:rPr>
          <w:rFonts w:ascii="Times New Roman" w:hAnsi="Times New Roman"/>
          <w:b/>
          <w:i/>
          <w:sz w:val="20"/>
        </w:rPr>
        <w:t>Shares</w:t>
      </w:r>
      <w:r>
        <w:rPr>
          <w:rFonts w:ascii="Times New Roman" w:hAnsi="Times New Roman"/>
          <w:sz w:val="20"/>
        </w:rPr>
        <w:t>) of the Companys common stock, par value $0.0001 per share (the </w:t>
      </w:r>
      <w:r>
        <w:rPr>
          <w:rFonts w:ascii="Times New Roman" w:hAnsi="Times New Roman"/>
          <w:b/>
          <w:i/>
          <w:sz w:val="20"/>
        </w:rPr>
        <w:t>Common Stock</w:t>
      </w:r>
      <w:r>
        <w:rPr>
          <w:rFonts w:ascii="Times New Roman" w:hAnsi="Times New Roman"/>
          <w:sz w:val="20"/>
        </w:rPr>
        <w:t>), and/or pre-funded warrants exercisable for shares of Common Stock (the </w:t>
      </w:r>
      <w:r>
        <w:rPr>
          <w:rFonts w:ascii="Times New Roman" w:hAnsi="Times New Roman"/>
          <w:b/>
          <w:i/>
          <w:sz w:val="20"/>
        </w:rPr>
        <w:t>Warrant Shares</w:t>
      </w:r>
      <w:r>
        <w:rPr>
          <w:rFonts w:ascii="Times New Roman" w:hAnsi="Times New Roman"/>
          <w:sz w:val="20"/>
        </w:rPr>
        <w:t> and together with the Shares, the </w:t>
      </w:r>
      <w:r>
        <w:rPr>
          <w:rFonts w:ascii="Times New Roman" w:hAnsi="Times New Roman"/>
          <w:b/>
          <w:i/>
          <w:sz w:val="20"/>
        </w:rPr>
        <w:t>Securities</w:t>
      </w:r>
      <w:r>
        <w:rPr>
          <w:rFonts w:ascii="Times New Roman" w:hAnsi="Times New Roman"/>
          <w:sz w:val="20"/>
        </w:rPr>
        <w:t>) (the </w:t>
      </w:r>
      <w:r>
        <w:rPr>
          <w:rFonts w:ascii="Times New Roman" w:hAnsi="Times New Roman"/>
          <w:b/>
          <w:i/>
          <w:sz w:val="20"/>
        </w:rPr>
        <w:t>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consideration of the entry into the Purchase Agreement, and of other good and valuable consideration the receipt and sufficiency of which is hereby acknowledged, the undersigned agrees that, during the period beginning from the date of this Lock-Up Agreement and continuing to and including the earlier of (i) the date that is 90 days after the date hereof or (ii) the date on which a registration statement with respect to the resale of all of the Securities is declared effective by the Securities and Exchange Commission (such period, the </w:t>
      </w:r>
      <w:r>
        <w:rPr>
          <w:rFonts w:ascii="Times New Roman" w:hAnsi="Times New Roman"/>
          <w:b/>
          <w:i/>
          <w:sz w:val="20"/>
        </w:rPr>
        <w:t>Lock-Up Period</w:t>
      </w:r>
      <w:r>
        <w:rPr>
          <w:rFonts w:ascii="Times New Roman" w:hAnsi="Times New Roman"/>
          <w:sz w:val="20"/>
        </w:rPr>
        <w:t>),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w:t>
      </w:r>
      <w:r>
        <w:rPr>
          <w:rFonts w:ascii="Times New Roman" w:hAnsi="Times New Roman"/>
          <w:b/>
          <w:i/>
          <w:sz w:val="20"/>
        </w:rPr>
        <w:t>Lock-Up Securities</w:t>
      </w:r>
      <w:r>
        <w:rPr>
          <w:rFonts w:ascii="Times New Roman" w:hAnsi="Times New Roman"/>
          <w:sz w:val="20"/>
        </w:rPr>
        <w:t>),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Times New Roman" w:hAnsi="Times New Roman"/>
          <w:b/>
          <w:i/>
          <w:sz w:val="20"/>
        </w:rPr>
        <w:t>Transfer</w:t>
      </w:r>
      <w:r>
        <w:rPr>
          <w:rFonts w:ascii="Times New Roman" w:hAnsi="Times New Roman"/>
          <w:sz w:val="20"/>
        </w:rPr>
        <w:t xml:space="preserve">),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undersigneds Lock-Up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one or more </w:t>
            </w:r>
            <w:r>
              <w:rPr>
                <w:rFonts w:ascii="Times New Roman" w:hAnsi="Times New Roman"/>
                <w:i/>
                <w:sz w:val="20"/>
              </w:rPr>
              <w:t>bona fide</w:t>
            </w:r>
            <w:r>
              <w:rPr>
                <w:rFonts w:ascii="Times New Roman" w:hAnsi="Times New Roman"/>
                <w:sz w:val="20"/>
              </w:rPr>
              <w:t xml:space="preserve"> gifts or charitable contributions, or for </w:t>
            </w:r>
            <w:r>
              <w:rPr>
                <w:rFonts w:ascii="Times New Roman" w:hAnsi="Times New Roman"/>
                <w:i/>
                <w:sz w:val="20"/>
              </w:rPr>
              <w:t>bona fide</w:t>
            </w:r>
            <w:r>
              <w:rPr>
                <w:rFonts w:ascii="Times New Roman" w:hAnsi="Times New Roman"/>
                <w:sz w:val="20"/>
              </w:rPr>
              <w:t xml:space="preserve"> estate planning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death by will, testamentary document or intestate succession,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partnership, limited liability company or any other entity of which the undersigned and the immediate family of the undersigned are the legal and beneficial owner of all of the outstanding equity securities or similar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nominee or custodian of a person or entity to whom a disposition or transfer would be permissible under clauses (a)(i) through (iv)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such as pursuant to a qualified domestic order, divorce settlement, divorce decree or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9"/>
        <w:gridCol w:w="8880"/>
      </w:tblGrid>
      <w:tr>
        <w:trPr/>
        <w:tc>
          <w:tcPr>
            <w:tcW w:w="91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(viii)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from an employee of the Company upon death, disability or termination of employment, in each case, of such employee,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(ix)</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Companys Annual Report on Form 10-K or Quarterly Report on Form 10-Q most recently filed under the Securities Exchange Act of 1934, as amended (the </w:t>
            </w:r>
            <w:r>
              <w:rPr>
                <w:rFonts w:ascii="Times New Roman" w:hAnsi="Times New Roman"/>
                <w:b/>
                <w:i/>
                <w:sz w:val="20"/>
              </w:rPr>
              <w:t>Exchange Act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any securities received upon such vesting, settlement, exercise or conversion shall be subject to the terms of this Lock-Up Agreement; </w:t>
      </w:r>
      <w:r>
        <w:rPr>
          <w:rFonts w:ascii="Times New Roman" w:hAnsi="Times New Roman"/>
          <w:i/>
          <w:sz w:val="20"/>
        </w:rPr>
        <w:t>provided</w:t>
      </w:r>
      <w:r>
        <w:rPr>
          <w:rFonts w:ascii="Times New Roman" w:hAnsi="Times New Roman"/>
          <w:sz w:val="20"/>
        </w:rPr>
        <w:t xml:space="preserve"> that (A) in the case of clauses (a)(i), (ii), (iii), (iv), (v) and (vi) above, such transfer or distribution shall not involve a disposition for value, (B) in the case of clauses (a)(i), (ii), (iii), (iv), (v), (vi)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above, it shall be a condition to the transfer or distribution that the donee, devisee, transferee or distributee, as the case may be, shall sign and deliver a lock-up agreement in the form of this Lock-Up Agreement, (C) in the case of clauses (a)(i),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(other than a required filing on Form 5),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 in the form of this Lock-Up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written plan meeting the requirements of Rule 10b5-1 under the Exchange Act relating to the transfer, sale or other disposition of the undersigneds Lock-Up Securities, if then permitted by the Company; </w:t>
            </w:r>
            <w:r>
              <w:rPr>
                <w:rFonts w:ascii="Times New Roman" w:hAnsi="Times New Roman"/>
                <w:i/>
                <w:sz w:val="20"/>
              </w:rPr>
              <w:t>provided</w:t>
            </w:r>
            <w:r>
              <w:rPr>
                <w:rFonts w:ascii="Times New Roman" w:hAnsi="Times New Roman"/>
                <w:sz w:val="20"/>
              </w:rPr>
              <w:t xml:space="preserve">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or dispose of the undersigneds Lock-Up Securities under a trading plan pursuant to Rule 10b5-1 under the Exchange Act that is existing on the date 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Section 16 filing with respect to any such transfer or disposition with a footnote indicating that such transfer or disposition was carried out pursuant to a Rule 10b5-1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w:t>
            </w:r>
            <w:r>
              <w:rPr>
                <w:rFonts w:ascii="Times New Roman" w:hAnsi="Times New Roman"/>
                <w:b/>
                <w:i/>
                <w:sz w:val="20"/>
              </w:rPr>
              <w:t>Change of Control</w:t>
            </w:r>
            <w:r>
              <w:rPr>
                <w:rFonts w:ascii="Times New Roman" w:hAnsi="Times New Roman"/>
                <w:sz w:val="20"/>
              </w:rPr>
              <w:t xml:space="preserve">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hAnsi="Times New Roman"/>
                <w:i/>
                <w:sz w:val="20"/>
              </w:rPr>
              <w:t>provided</w:t>
            </w:r>
            <w:r>
              <w:rPr>
                <w:rFonts w:ascii="Times New Roman" w:hAnsi="Times New Roman"/>
                <w:sz w:val="20"/>
              </w:rPr>
              <w:t xml:space="preserve"> that in the event that such tender offer, merger, consolidation or other similar transaction is not completed, the undersigneds Lock-Up Securities shall remain subject to the provisions of this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Lock-Up Agreement is intended for the benefit of the parties hereto and their respective successors and permitted assigns and is not for the benefit of, nor may any provisions hereof be enforced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now has, and, except as contemplated by clauses (a) and (d)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Lock-Up Agreement shall automatically terminate and the undersigned shall be released from all obligations hereunder upon the date on which for any reason the Purchase Agreement is terminated (other than the provisions thereof that survive termination) prior to payment for and delivery of the Securities to be sold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3"/>
        <w:gridCol w:w="106"/>
        <w:gridCol w:w="3273"/>
        <w:gridCol w:w="106"/>
        <w:gridCol w:w="260"/>
        <w:gridCol w:w="106"/>
        <w:gridCol w:w="1269"/>
        <w:gridCol w:w="158"/>
        <w:gridCol w:w="4174"/>
      </w:tblGrid>
      <w:tr>
        <w:trPr/>
        <w:tc>
          <w:tcPr>
            <w:tcW w:w="75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4174"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vAlign w:val="bottom"/>
          </w:tcPr>
          <w:p>
            <w:pPr>
              <w:pStyle w:val="TableContents"/>
              <w:bidi w:val="0"/>
              <w:spacing w:before="0" w:after="283"/>
              <w:jc w:val="left"/>
              <w:rPr>
                <w:b/>
              </w:rPr>
            </w:pPr>
            <w:r>
              <w:rPr>
                <w:b/>
              </w:rPr>
              <w:t>IF AN INDIVIDUAL:</w:t>
            </w:r>
          </w:p>
        </w:tc>
        <w:tc>
          <w:tcPr>
            <w:tcW w:w="10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601" w:type="dxa"/>
            <w:gridSpan w:val="3"/>
            <w:tcBorders/>
            <w:vAlign w:val="bottom"/>
          </w:tcPr>
          <w:p>
            <w:pPr>
              <w:pStyle w:val="TableContents"/>
              <w:bidi w:val="0"/>
              <w:spacing w:before="0" w:after="283"/>
              <w:jc w:val="left"/>
              <w:rPr>
                <w:b/>
              </w:rPr>
            </w:pPr>
            <w:r>
              <w:rPr>
                <w:b/>
              </w:rPr>
              <w:t>IF AN ENTITY:</w:t>
            </w:r>
          </w:p>
        </w:tc>
      </w:tr>
      <w:tr>
        <w:trPr>
          <w:trHeight w:val="240" w:hRule="atLeast"/>
        </w:trPr>
        <w:tc>
          <w:tcPr>
            <w:tcW w:w="753" w:type="dxa"/>
            <w:tcBorders/>
            <w:vAlign w:val="center"/>
          </w:tcPr>
          <w:p>
            <w:pPr>
              <w:pStyle w:val="TableContents"/>
              <w:bidi w:val="0"/>
              <w:spacing w:before="0" w:after="283"/>
              <w:jc w:val="left"/>
              <w:rPr>
                <w:sz w:val="4"/>
                <w:szCs w:val="4"/>
              </w:rPr>
            </w:pPr>
            <w:r>
              <w:rPr>
                <w:sz w:val="4"/>
                <w:szCs w:val="4"/>
              </w:rPr>
            </w:r>
          </w:p>
        </w:tc>
        <w:tc>
          <w:tcPr>
            <w:tcW w:w="3379" w:type="dxa"/>
            <w:gridSpan w:val="2"/>
            <w:tcBorders/>
            <w:vAlign w:val="center"/>
          </w:tcPr>
          <w:p>
            <w:pPr>
              <w:pStyle w:val="TableContents"/>
              <w:bidi w:val="0"/>
              <w:spacing w:before="0" w:after="283"/>
              <w:jc w:val="left"/>
              <w:rPr>
                <w:sz w:val="4"/>
                <w:szCs w:val="4"/>
              </w:rPr>
            </w:pPr>
            <w:r>
              <w:rPr>
                <w:sz w:val="4"/>
                <w:szCs w:val="4"/>
              </w:rPr>
            </w:r>
          </w:p>
        </w:tc>
        <w:tc>
          <w:tcPr>
            <w:tcW w:w="366" w:type="dxa"/>
            <w:gridSpan w:val="2"/>
            <w:tcBorders/>
            <w:vAlign w:val="center"/>
          </w:tcPr>
          <w:p>
            <w:pPr>
              <w:pStyle w:val="TableContents"/>
              <w:bidi w:val="0"/>
              <w:spacing w:before="0" w:after="283"/>
              <w:jc w:val="left"/>
              <w:rPr>
                <w:sz w:val="4"/>
                <w:szCs w:val="4"/>
              </w:rPr>
            </w:pPr>
            <w:r>
              <w:rPr>
                <w:sz w:val="4"/>
                <w:szCs w:val="4"/>
              </w:rPr>
            </w:r>
          </w:p>
        </w:tc>
        <w:tc>
          <w:tcPr>
            <w:tcW w:w="5707" w:type="dxa"/>
            <w:gridSpan w:val="4"/>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273" w:type="dxa"/>
            <w:tcBorders>
              <w:bottom w:val="single" w:sz="2" w:space="0" w:color="000000"/>
            </w:tcBorders>
            <w:tcMar>
              <w:bottom w:w="28" w:type="dxa"/>
            </w:tcMa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5601"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75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center"/>
              <w:rPr>
                <w:i/>
              </w:rPr>
            </w:pPr>
            <w:r>
              <w:rPr>
                <w:i/>
              </w:rPr>
              <w:t>(duly authorized signature)</w:t>
            </w:r>
          </w:p>
        </w:tc>
        <w:tc>
          <w:tcPr>
            <w:tcW w:w="10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601" w:type="dxa"/>
            <w:gridSpan w:val="3"/>
            <w:tcBorders/>
            <w:vAlign w:val="bottom"/>
          </w:tcPr>
          <w:p>
            <w:pPr>
              <w:pStyle w:val="TableContents"/>
              <w:bidi w:val="0"/>
              <w:spacing w:before="0" w:after="283"/>
              <w:jc w:val="left"/>
              <w:rPr>
                <w:i/>
              </w:rPr>
            </w:pPr>
            <w:r>
              <w:rPr>
                <w:i/>
              </w:rPr>
              <w:t>(please print complete name of entity)</w:t>
            </w:r>
          </w:p>
        </w:tc>
      </w:tr>
      <w:tr>
        <w:trPr>
          <w:trHeight w:val="240" w:hRule="atLeast"/>
        </w:trPr>
        <w:tc>
          <w:tcPr>
            <w:tcW w:w="753" w:type="dxa"/>
            <w:tcBorders/>
            <w:vAlign w:val="center"/>
          </w:tcPr>
          <w:p>
            <w:pPr>
              <w:pStyle w:val="TableContents"/>
              <w:bidi w:val="0"/>
              <w:spacing w:before="0" w:after="283"/>
              <w:jc w:val="left"/>
              <w:rPr>
                <w:sz w:val="4"/>
                <w:szCs w:val="4"/>
              </w:rPr>
            </w:pPr>
            <w:r>
              <w:rPr>
                <w:sz w:val="4"/>
                <w:szCs w:val="4"/>
              </w:rPr>
            </w:r>
          </w:p>
        </w:tc>
        <w:tc>
          <w:tcPr>
            <w:tcW w:w="3379" w:type="dxa"/>
            <w:gridSpan w:val="2"/>
            <w:tcBorders/>
            <w:vAlign w:val="center"/>
          </w:tcPr>
          <w:p>
            <w:pPr>
              <w:pStyle w:val="TableContents"/>
              <w:bidi w:val="0"/>
              <w:spacing w:before="0" w:after="283"/>
              <w:jc w:val="left"/>
              <w:rPr>
                <w:sz w:val="4"/>
                <w:szCs w:val="4"/>
              </w:rPr>
            </w:pPr>
            <w:r>
              <w:rPr>
                <w:sz w:val="4"/>
                <w:szCs w:val="4"/>
              </w:rPr>
            </w:r>
          </w:p>
        </w:tc>
        <w:tc>
          <w:tcPr>
            <w:tcW w:w="366" w:type="dxa"/>
            <w:gridSpan w:val="2"/>
            <w:tcBorders/>
            <w:vAlign w:val="center"/>
          </w:tcPr>
          <w:p>
            <w:pPr>
              <w:pStyle w:val="TableContents"/>
              <w:bidi w:val="0"/>
              <w:spacing w:before="0" w:after="283"/>
              <w:jc w:val="left"/>
              <w:rPr>
                <w:sz w:val="4"/>
                <w:szCs w:val="4"/>
              </w:rPr>
            </w:pPr>
            <w:r>
              <w:rPr>
                <w:sz w:val="4"/>
                <w:szCs w:val="4"/>
              </w:rPr>
            </w:r>
          </w:p>
        </w:tc>
        <w:tc>
          <w:tcPr>
            <w:tcW w:w="1375" w:type="dxa"/>
            <w:gridSpan w:val="2"/>
            <w:tcBorders/>
            <w:vAlign w:val="center"/>
          </w:tcPr>
          <w:p>
            <w:pPr>
              <w:pStyle w:val="TableContents"/>
              <w:bidi w:val="0"/>
              <w:spacing w:before="0" w:after="283"/>
              <w:jc w:val="left"/>
              <w:rPr>
                <w:sz w:val="4"/>
                <w:szCs w:val="4"/>
              </w:rPr>
            </w:pPr>
            <w:r>
              <w:rPr>
                <w:sz w:val="4"/>
                <w:szCs w:val="4"/>
              </w:rPr>
            </w:r>
          </w:p>
        </w:tc>
        <w:tc>
          <w:tcPr>
            <w:tcW w:w="4332" w:type="dxa"/>
            <w:gridSpan w:val="2"/>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pPr>
            <w:r>
              <w:rPr/>
              <w:t>Name:</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273" w:type="dxa"/>
            <w:tcBorders>
              <w:bottom w:val="single" w:sz="2" w:space="0" w:color="000000"/>
            </w:tcBorders>
            <w:tcMar>
              <w:bottom w:w="28" w:type="dxa"/>
            </w:tcMa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left"/>
              <w:rPr/>
            </w:pPr>
            <w:r>
              <w:rPr/>
              <w:t>By:</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417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5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center"/>
              <w:rPr>
                <w:i/>
              </w:rPr>
            </w:pPr>
            <w:r>
              <w:rPr>
                <w:i/>
              </w:rPr>
              <w:t>(please print full name)</w:t>
            </w:r>
          </w:p>
        </w:tc>
        <w:tc>
          <w:tcPr>
            <w:tcW w:w="10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center"/>
              <w:rPr>
                <w:i/>
              </w:rPr>
            </w:pPr>
            <w:r>
              <w:rPr>
                <w:i/>
              </w:rPr>
              <w:t>(duly authorized signature)</w:t>
            </w:r>
          </w:p>
        </w:tc>
      </w:tr>
      <w:tr>
        <w:trPr>
          <w:trHeight w:val="240" w:hRule="atLeast"/>
        </w:trPr>
        <w:tc>
          <w:tcPr>
            <w:tcW w:w="753" w:type="dxa"/>
            <w:tcBorders/>
            <w:vAlign w:val="center"/>
          </w:tcPr>
          <w:p>
            <w:pPr>
              <w:pStyle w:val="TableContents"/>
              <w:bidi w:val="0"/>
              <w:spacing w:before="0" w:after="283"/>
              <w:jc w:val="left"/>
              <w:rPr>
                <w:sz w:val="4"/>
                <w:szCs w:val="4"/>
              </w:rPr>
            </w:pPr>
            <w:r>
              <w:rPr>
                <w:sz w:val="4"/>
                <w:szCs w:val="4"/>
              </w:rPr>
            </w:r>
          </w:p>
        </w:tc>
        <w:tc>
          <w:tcPr>
            <w:tcW w:w="3379" w:type="dxa"/>
            <w:gridSpan w:val="2"/>
            <w:tcBorders/>
            <w:vAlign w:val="center"/>
          </w:tcPr>
          <w:p>
            <w:pPr>
              <w:pStyle w:val="TableContents"/>
              <w:bidi w:val="0"/>
              <w:spacing w:before="0" w:after="283"/>
              <w:jc w:val="left"/>
              <w:rPr>
                <w:sz w:val="4"/>
                <w:szCs w:val="4"/>
              </w:rPr>
            </w:pPr>
            <w:r>
              <w:rPr>
                <w:sz w:val="4"/>
                <w:szCs w:val="4"/>
              </w:rPr>
            </w:r>
          </w:p>
        </w:tc>
        <w:tc>
          <w:tcPr>
            <w:tcW w:w="366" w:type="dxa"/>
            <w:gridSpan w:val="2"/>
            <w:tcBorders/>
            <w:vAlign w:val="center"/>
          </w:tcPr>
          <w:p>
            <w:pPr>
              <w:pStyle w:val="TableContents"/>
              <w:bidi w:val="0"/>
              <w:spacing w:before="0" w:after="283"/>
              <w:jc w:val="left"/>
              <w:rPr>
                <w:sz w:val="4"/>
                <w:szCs w:val="4"/>
              </w:rPr>
            </w:pPr>
            <w:r>
              <w:rPr>
                <w:sz w:val="4"/>
                <w:szCs w:val="4"/>
              </w:rPr>
            </w:r>
          </w:p>
        </w:tc>
        <w:tc>
          <w:tcPr>
            <w:tcW w:w="1375" w:type="dxa"/>
            <w:gridSpan w:val="2"/>
            <w:tcBorders/>
            <w:vAlign w:val="center"/>
          </w:tcPr>
          <w:p>
            <w:pPr>
              <w:pStyle w:val="TableContents"/>
              <w:bidi w:val="0"/>
              <w:spacing w:before="0" w:after="283"/>
              <w:jc w:val="left"/>
              <w:rPr>
                <w:sz w:val="4"/>
                <w:szCs w:val="4"/>
              </w:rPr>
            </w:pPr>
            <w:r>
              <w:rPr>
                <w:sz w:val="4"/>
                <w:szCs w:val="4"/>
              </w:rPr>
            </w:r>
          </w:p>
        </w:tc>
        <w:tc>
          <w:tcPr>
            <w:tcW w:w="4332" w:type="dxa"/>
            <w:gridSpan w:val="2"/>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Name:</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417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5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center"/>
              <w:rPr>
                <w:i/>
              </w:rPr>
            </w:pPr>
            <w:r>
              <w:rPr>
                <w:i/>
              </w:rPr>
              <w:t>(please print full name)</w:t>
            </w:r>
          </w:p>
        </w:tc>
      </w:tr>
      <w:tr>
        <w:trPr>
          <w:trHeight w:val="240" w:hRule="atLeast"/>
        </w:trPr>
        <w:tc>
          <w:tcPr>
            <w:tcW w:w="753" w:type="dxa"/>
            <w:tcBorders/>
            <w:vAlign w:val="center"/>
          </w:tcPr>
          <w:p>
            <w:pPr>
              <w:pStyle w:val="TableContents"/>
              <w:bidi w:val="0"/>
              <w:spacing w:before="0" w:after="283"/>
              <w:jc w:val="left"/>
              <w:rPr>
                <w:sz w:val="4"/>
                <w:szCs w:val="4"/>
              </w:rPr>
            </w:pPr>
            <w:r>
              <w:rPr>
                <w:sz w:val="4"/>
                <w:szCs w:val="4"/>
              </w:rPr>
            </w:r>
          </w:p>
        </w:tc>
        <w:tc>
          <w:tcPr>
            <w:tcW w:w="3379" w:type="dxa"/>
            <w:gridSpan w:val="2"/>
            <w:tcBorders/>
            <w:vAlign w:val="center"/>
          </w:tcPr>
          <w:p>
            <w:pPr>
              <w:pStyle w:val="TableContents"/>
              <w:bidi w:val="0"/>
              <w:spacing w:before="0" w:after="283"/>
              <w:jc w:val="left"/>
              <w:rPr>
                <w:sz w:val="4"/>
                <w:szCs w:val="4"/>
              </w:rPr>
            </w:pPr>
            <w:r>
              <w:rPr>
                <w:sz w:val="4"/>
                <w:szCs w:val="4"/>
              </w:rPr>
            </w:r>
          </w:p>
        </w:tc>
        <w:tc>
          <w:tcPr>
            <w:tcW w:w="366" w:type="dxa"/>
            <w:gridSpan w:val="2"/>
            <w:tcBorders/>
            <w:vAlign w:val="center"/>
          </w:tcPr>
          <w:p>
            <w:pPr>
              <w:pStyle w:val="TableContents"/>
              <w:bidi w:val="0"/>
              <w:spacing w:before="0" w:after="283"/>
              <w:jc w:val="left"/>
              <w:rPr>
                <w:sz w:val="4"/>
                <w:szCs w:val="4"/>
              </w:rPr>
            </w:pPr>
            <w:r>
              <w:rPr>
                <w:sz w:val="4"/>
                <w:szCs w:val="4"/>
              </w:rPr>
            </w:r>
          </w:p>
        </w:tc>
        <w:tc>
          <w:tcPr>
            <w:tcW w:w="1375" w:type="dxa"/>
            <w:gridSpan w:val="2"/>
            <w:tcBorders/>
            <w:vAlign w:val="center"/>
          </w:tcPr>
          <w:p>
            <w:pPr>
              <w:pStyle w:val="TableContents"/>
              <w:bidi w:val="0"/>
              <w:spacing w:before="0" w:after="283"/>
              <w:jc w:val="left"/>
              <w:rPr>
                <w:sz w:val="4"/>
                <w:szCs w:val="4"/>
              </w:rPr>
            </w:pPr>
            <w:r>
              <w:rPr>
                <w:sz w:val="4"/>
                <w:szCs w:val="4"/>
              </w:rPr>
            </w:r>
          </w:p>
        </w:tc>
        <w:tc>
          <w:tcPr>
            <w:tcW w:w="4332" w:type="dxa"/>
            <w:gridSpan w:val="2"/>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pPr>
            <w:r>
              <w:rPr/>
              <w:t>Title:</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417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53"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73"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69" w:type="dxa"/>
            <w:tcBorders/>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center"/>
              <w:rPr>
                <w:i/>
              </w:rPr>
            </w:pPr>
            <w:r>
              <w:rPr>
                <w:i/>
              </w:rPr>
              <w:t>(please print full 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6" w:name="d642740dex102.htm"/>
      <w:bookmarkStart w:id="7" w:name="ksd642740dex102"/>
      <w:bookmarkEnd w:id="6"/>
      <w:bookmarkEnd w:id="7"/>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THIS REGISTRATION RIGHTS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dated as of January 26, 2024, by and among Kura Oncology, Inc., a Delaware corporation (the </w:t>
      </w:r>
      <w:r>
        <w:rPr>
          <w:rFonts w:ascii="Times New Roman" w:hAnsi="Times New Roman"/>
          <w:b/>
          <w:i/>
          <w:sz w:val="20"/>
        </w:rPr>
        <w:t>Company</w:t>
      </w:r>
      <w:r>
        <w:rPr>
          <w:rFonts w:ascii="Times New Roman" w:hAnsi="Times New Roman"/>
          <w:sz w:val="20"/>
        </w:rPr>
        <w:t xml:space="preserve">), and the purchasers set forth on </w:t>
      </w:r>
      <w:r>
        <w:rPr>
          <w:rFonts w:ascii="Times New Roman" w:hAnsi="Times New Roman"/>
          <w:sz w:val="20"/>
          <w:u w:val="single"/>
        </w:rPr>
        <w:t>Schedule 1</w:t>
      </w:r>
      <w:r>
        <w:rPr>
          <w:rFonts w:ascii="Times New Roman" w:hAnsi="Times New Roman"/>
          <w:sz w:val="20"/>
        </w:rPr>
        <w:t xml:space="preserve"> hereto (each, a </w:t>
      </w:r>
      <w:r>
        <w:rPr>
          <w:rFonts w:ascii="Times New Roman" w:hAnsi="Times New Roman"/>
          <w:b/>
          <w:i/>
          <w:sz w:val="20"/>
        </w:rPr>
        <w:t>Purchaser</w:t>
      </w:r>
      <w:r>
        <w:rPr>
          <w:rFonts w:ascii="Times New Roman" w:hAnsi="Times New Roman"/>
          <w:sz w:val="20"/>
        </w:rPr>
        <w:t>, and collectively, the </w:t>
      </w:r>
      <w:r>
        <w:rPr>
          <w:rFonts w:ascii="Times New Roman" w:hAnsi="Times New Roman"/>
          <w:b/>
          <w:i/>
          <w:sz w:val="20"/>
        </w:rPr>
        <w:t>Purchasers</w:t>
      </w:r>
      <w:r>
        <w:rPr>
          <w:rFonts w:ascii="Times New Roman" w:hAnsi="Times New Roman"/>
          <w:sz w:val="20"/>
        </w:rPr>
        <w:t xml:space="preserve">), and shall become effective as of the Closing (as defined in the Purchase Agreement, defined below). Capitalized terms used and not otherwise defined herein that are defined in the Purchase Agreement shall have the meanings given such terms in the Purchase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In connection with the Securities Purchase Agreement, by and among the Company and the Purchasers, dated as of January 24, 2024 (the </w:t>
      </w:r>
      <w:r>
        <w:rPr>
          <w:rFonts w:ascii="Times New Roman" w:hAnsi="Times New Roman"/>
          <w:b/>
          <w:i/>
          <w:sz w:val="20"/>
        </w:rPr>
        <w:t>Purchase Agreement</w:t>
      </w:r>
      <w:r>
        <w:rPr>
          <w:rFonts w:ascii="Times New Roman" w:hAnsi="Times New Roman"/>
          <w:sz w:val="20"/>
        </w:rPr>
        <w:t>), the Company has agreed, upon the terms and conditions stated in the Purchase Agreement, to issue and sell to each Purchaser shares (the </w:t>
      </w:r>
      <w:r>
        <w:rPr>
          <w:rFonts w:ascii="Times New Roman" w:hAnsi="Times New Roman"/>
          <w:b/>
          <w:i/>
          <w:sz w:val="20"/>
        </w:rPr>
        <w:t>Shares</w:t>
      </w:r>
      <w:r>
        <w:rPr>
          <w:rFonts w:ascii="Times New Roman" w:hAnsi="Times New Roman"/>
          <w:sz w:val="20"/>
        </w:rPr>
        <w:t>) of the Companys common stock, par value $0.0001 (the </w:t>
      </w:r>
      <w:r>
        <w:rPr>
          <w:rFonts w:ascii="Times New Roman" w:hAnsi="Times New Roman"/>
          <w:b/>
          <w:i/>
          <w:sz w:val="20"/>
        </w:rPr>
        <w:t>Common Stock</w:t>
      </w:r>
      <w:r>
        <w:rPr>
          <w:rFonts w:ascii="Times New Roman" w:hAnsi="Times New Roman"/>
          <w:sz w:val="20"/>
        </w:rPr>
        <w:t>), and pre-funded warrants to purchase shares of Common Stock (the </w:t>
      </w:r>
      <w:r>
        <w:rPr>
          <w:rFonts w:ascii="Times New Roman" w:hAnsi="Times New Roman"/>
          <w:b/>
          <w:i/>
          <w:sz w:val="20"/>
        </w:rPr>
        <w:t>Pre-Funded Warrants</w:t>
      </w:r>
      <w:r>
        <w:rPr>
          <w:rFonts w:ascii="Times New Roman" w:hAnsi="Times New Roman"/>
          <w:sz w:val="20"/>
        </w:rPr>
        <w:t> and together with the Shares, the </w:t>
      </w:r>
      <w:r>
        <w:rPr>
          <w:rFonts w:ascii="Times New Roman" w:hAnsi="Times New Roman"/>
          <w:b/>
          <w:i/>
          <w:sz w:val="20"/>
        </w:rPr>
        <w:t>Securities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B. To induce the Purchasers to execute and deliver the Purchase Agreement, the Company has agreed to provide certain registration rights under the Securities Act of 1933, as amended (the </w:t>
      </w:r>
      <w:r>
        <w:rPr>
          <w:rFonts w:ascii="Times New Roman" w:hAnsi="Times New Roman"/>
          <w:b/>
          <w:i/>
          <w:sz w:val="20"/>
        </w:rPr>
        <w:t>Securities Act</w:t>
      </w:r>
      <w:r>
        <w:rPr>
          <w:rFonts w:ascii="Times New Roman" w:hAnsi="Times New Roman"/>
          <w:sz w:val="20"/>
        </w:rPr>
        <w:t xml:space="preserve">), and applicable state securities laws.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 IN CONSIDERATION</w:t>
      </w:r>
      <w:r>
        <w:rPr>
          <w:rFonts w:ascii="Times New Roman" w:hAnsi="Times New Roman"/>
          <w:sz w:val="20"/>
        </w:rPr>
        <w:t xml:space="preserve"> of the mutual covenants contained in this Agreement, and for other good and valuable consideration the receipt and adequacy of which are hereby acknowledged, the Company and each Purchaser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means, with respect to any Person, any other Person that directly or indirectly controls or is controlled by or under common control with such Person. For the purposes of this definition, </w:t>
      </w:r>
      <w:r>
        <w:rPr>
          <w:rFonts w:ascii="Times New Roman" w:hAnsi="Times New Roman"/>
          <w:b/>
          <w:i/>
          <w:sz w:val="20"/>
        </w:rPr>
        <w:t>control</w:t>
      </w:r>
      <w:r>
        <w:rPr>
          <w:rFonts w:ascii="Times New Roman" w:hAnsi="Times New Roman"/>
          <w:sz w:val="20"/>
        </w:rPr>
        <w:t>, when used with respect to any Person, means the possession, directly or indirectly, of the power to direct or cause the direction of the management and policies of such Person, whether through the ownership of voting securities, by contract or otherwise; and the terms of </w:t>
      </w:r>
      <w:r>
        <w:rPr>
          <w:rFonts w:ascii="Times New Roman" w:hAnsi="Times New Roman"/>
          <w:b/>
          <w:i/>
          <w:sz w:val="20"/>
        </w:rPr>
        <w:t>affiliated</w:t>
      </w:r>
      <w:r>
        <w:rPr>
          <w:rFonts w:ascii="Times New Roman" w:hAnsi="Times New Roman"/>
          <w:sz w:val="20"/>
        </w:rPr>
        <w:t>, </w:t>
      </w:r>
      <w:r>
        <w:rPr>
          <w:rFonts w:ascii="Times New Roman" w:hAnsi="Times New Roman"/>
          <w:b/>
          <w:i/>
          <w:sz w:val="20"/>
        </w:rPr>
        <w:t>controlling</w:t>
      </w:r>
      <w:r>
        <w:rPr>
          <w:rFonts w:ascii="Times New Roman" w:hAnsi="Times New Roman"/>
          <w:sz w:val="20"/>
        </w:rPr>
        <w:t> and </w:t>
      </w:r>
      <w:r>
        <w:rPr>
          <w:rFonts w:ascii="Times New Roman" w:hAnsi="Times New Roman"/>
          <w:b/>
          <w:i/>
          <w:sz w:val="20"/>
        </w:rPr>
        <w:t>controlled</w:t>
      </w:r>
      <w:r>
        <w:rPr>
          <w:rFonts w:ascii="Times New Roman" w:hAnsi="Times New Roman"/>
          <w:sz w:val="20"/>
        </w:rPr>
        <w:t xml:space="preserve">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w:t>
      </w:r>
      <w:r>
        <w:rPr>
          <w:rFonts w:ascii="Times New Roman" w:hAnsi="Times New Roman"/>
          <w:sz w:val="20"/>
        </w:rPr>
        <w:t xml:space="preserve"> </w:t>
      </w:r>
      <w:r>
        <w:rPr>
          <w:rFonts w:ascii="Times New Roman" w:hAnsi="Times New Roman"/>
          <w:b/>
          <w:i/>
          <w:sz w:val="20"/>
        </w:rPr>
        <w:t>Day</w:t>
      </w:r>
      <w:r>
        <w:rPr>
          <w:rFonts w:ascii="Times New Roman" w:hAnsi="Times New Roman"/>
          <w:sz w:val="20"/>
        </w:rPr>
        <w:t xml:space="preserve"> means any day except Saturday, Sunday and any day which shall be a legal holiday or a day on which banking institutions in the state of New York generally are authorized or required by law or other government actions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means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Effectiveness Date</w:t>
      </w:r>
      <w:r>
        <w:rPr>
          <w:rFonts w:ascii="Times New Roman" w:hAnsi="Times New Roman"/>
          <w:sz w:val="20"/>
        </w:rPr>
        <w:t xml:space="preserve"> means, with respect to the Registration Statement required to be filed hereunder, the 30th calendar day following the filing thereof (or, in the event of a limited review by the Commission, the 45th calendar day following the filing thereof, and in the event of a full review by the Commission, the 60th calendar day following the filing thereof) and with respect to any additional Registration Statements which may be required pursuant to Section 2.1(d), the 30th calendar day following the date on which an additional Registration Statement is required to be filed hereunder (or, in the event of a limited review by the Commission, the 45th calendar day following the filing thereof, and in the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full review by the Commission, the 60th calendar day following the date such additional Registration Statement is required to be filed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Company is notified by the Commission that one or more of the above Registration Statements will not be reviewed or is no longer subject to further review and comments, the Effectiveness Date as to such Registration Statement shall be no later than the second Trading Day following the date on which the Company is so notified if such date precedes the dates otherwise required above, provided, further, if such Effectiveness Date falls on a day that is not a Trading Day, then the Effectiveness Date shall be the next succeeding Trading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Filing Date</w:t>
      </w:r>
      <w:r>
        <w:rPr>
          <w:rFonts w:ascii="Times New Roman" w:hAnsi="Times New Roman"/>
          <w:sz w:val="20"/>
        </w:rPr>
        <w:t xml:space="preserve"> means, with respect to the initial Registration Statement required hereunder, February 23, 2024 and, with respect to any additional Registration Statements which may be required pursuant to Section 2.1(d), the earliest practical date on which the Company is permitted by SEC Guidance to file such additional Registration Statement related to the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Holders</w:t>
      </w:r>
      <w:r>
        <w:rPr>
          <w:rFonts w:ascii="Times New Roman" w:hAnsi="Times New Roman"/>
          <w:sz w:val="20"/>
        </w:rPr>
        <w:t xml:space="preserve"> means the holder or holders, as the case may be, from time to time of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 individual or a corporation, partnership, trust, incorporated or unincorporated association, joint venture, limited liability company, joint stock company, government (or an agency or political subdivision thereof) or other entity of any kind.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Proceeding</w:t>
      </w:r>
      <w:r>
        <w:rPr>
          <w:rFonts w:ascii="Times New Roman" w:hAnsi="Times New Roman"/>
          <w:sz w:val="20"/>
        </w:rPr>
        <w:t xml:space="preserve"> means an action, claim, suit, investigation or proceeding (including, without limitation, an investigation or partial proceeding, such as a deposition), whether commenced or threatened.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Prospectus</w:t>
      </w:r>
      <w:r>
        <w:rPr>
          <w:rFonts w:ascii="Times New Roman" w:hAnsi="Times New Roman"/>
          <w:sz w:val="20"/>
        </w:rPr>
        <w:t xml:space="preserve"> means any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any such Prospectus, including post-effective amendments, and all material incorporated by reference in such Prospectus.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Registrable Securities</w:t>
      </w:r>
      <w:r>
        <w:rPr>
          <w:rFonts w:ascii="Times New Roman" w:hAnsi="Times New Roman"/>
          <w:sz w:val="20"/>
        </w:rPr>
        <w:t xml:space="preserve"> means, as of any date of determination, (a) all Shares, (b) all Warrant Shares then issued or issuable upon exercise of the Pre-Funded Warrants (assuming on such date the Pre-Funded Warrants are exercised in full for cash without regard to any exercise limitations therein) and (c) any securities issued or then issuable upon any stock split, dividend or other distribution, recapitalization or similar event with respect to the foregoing;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securities shall no longer be deemed Registrable Securities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the requirement for the Company to be in compliance with the current public information requirement under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and all Pre-Funded Warrants are exercised by cashless exercise as provided in each of the Pre-Funded Warrants), as reasonably determined by the Company, upon the advice of counsel to the Company, provided that the Company complies with all of its obligations under Section 3.7(b) of the Purchase Agreement in respect of such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 Statement</w:t>
      </w:r>
      <w:r>
        <w:rPr>
          <w:rFonts w:ascii="Times New Roman" w:hAnsi="Times New Roman"/>
          <w:sz w:val="20"/>
        </w:rPr>
        <w:t xml:space="preserve"> means the registration statements and any additional registration statements contemplated by Article II, including (in each case) the related Prospectus, amendments and supplements to such registration statement or Prospectus, including pre- and post-effective amendments, all exhibits thereto, and all material incorporated by reference in such registration statement.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Rule 144</w:t>
      </w:r>
      <w:r>
        <w:rPr>
          <w:rFonts w:ascii="Times New Roman" w:hAnsi="Times New Roman"/>
          <w:sz w:val="20"/>
        </w:rPr>
        <w:t xml:space="preserve"> means Rule 144 promulgated by the Commission pursuant to the Securities Act, as such Rule may be amended from time to time, or any similar rule or regulation hereafter adopted by the Commission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Rule 415</w:t>
      </w:r>
      <w:r>
        <w:rPr>
          <w:rFonts w:ascii="Times New Roman" w:hAnsi="Times New Roman"/>
          <w:sz w:val="20"/>
        </w:rPr>
        <w:t xml:space="preserve"> means Rule 415 promulgated by the Commission pursuant to the Securities Act, as such Rule may be amended from time to time, or any similar rule or regulation hereafter adopted by the Commission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 Guidance</w:t>
      </w:r>
      <w:r>
        <w:rPr>
          <w:rFonts w:ascii="Times New Roman" w:hAnsi="Times New Roman"/>
          <w:sz w:val="20"/>
        </w:rPr>
        <w:t xml:space="preserve"> means (i) any publicly-available written or oral guidance of the Commission staff, or any comments, requirements or requests of the Commission staff and (ii)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Selling Securityholder Questionnaire</w:t>
      </w:r>
      <w:r>
        <w:rPr>
          <w:rFonts w:ascii="Times New Roman" w:hAnsi="Times New Roman"/>
          <w:sz w:val="20"/>
        </w:rPr>
        <w:t xml:space="preserve"> means a questionnaire in the form attached as </w:t>
      </w:r>
      <w:r>
        <w:rPr>
          <w:rFonts w:ascii="Times New Roman" w:hAnsi="Times New Roman"/>
          <w:sz w:val="20"/>
          <w:u w:val="single"/>
        </w:rPr>
        <w:t>Exhibit A</w:t>
      </w:r>
      <w:r>
        <w:rPr>
          <w:rFonts w:ascii="Times New Roman" w:hAnsi="Times New Roman"/>
          <w:sz w:val="20"/>
        </w:rPr>
        <w:t xml:space="preserve"> hereto, or such other form of questionnaire as may reasonably be requested by the Company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 Documents</w:t>
      </w:r>
      <w:r>
        <w:rPr>
          <w:rFonts w:ascii="Times New Roman" w:hAnsi="Times New Roman"/>
          <w:sz w:val="20"/>
        </w:rPr>
        <w:t xml:space="preserve"> means this Agreement, the Purchase Agreement, and the schedules and exhibits attached hereto and thereto.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Registration Procedures</w:t>
      </w:r>
      <w:r>
        <w:rPr>
          <w:rFonts w:ascii="Times New Roman" w:hAnsi="Times New Roman"/>
          <w:sz w:val="20"/>
        </w:rPr>
        <w:t xml:space="preserve">. In connection with the Companys registration obligations hereunder, the Company shall: </w:t>
      </w:r>
    </w:p>
    <w:p>
      <w:pPr>
        <w:pStyle w:val="TextBody"/>
        <w:bidi w:val="0"/>
        <w:spacing w:before="120" w:after="0"/>
        <w:jc w:val="left"/>
        <w:rPr>
          <w:rFonts w:ascii="Times New Roman" w:hAnsi="Times New Roman"/>
          <w:sz w:val="20"/>
        </w:rPr>
      </w:pPr>
      <w:r>
        <w:rPr>
          <w:rFonts w:ascii="Times New Roman" w:hAnsi="Times New Roman"/>
          <w:sz w:val="20"/>
        </w:rPr>
        <w:t>(a) Prepare and file with the Commission on or prior to the Filing Date, a Registration Statement covering the resale of all of the Registrable Securities on a continuous basis in accordance with Rule 415 under the Securities Act, and use its reasonable efforts to cause a Registration Statement filed under this Agreement (including, without limitation, under Section 2.1(d)) to become effective under the Securities Act as promptly as reasonably possible after the filing thereof, but in any event no later than the applicable Effectiveness Date, and shall use its reasonable efforts to keep such Registration Statement continuously effective under the Securities Act until the earliest to occur of (i) the date that all Registrable Securities covered by such Registration Statement (x) have been sold, thereunder or pursuant to Rule 144, or (y)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hAnsi="Times New Roman"/>
          <w:b/>
          <w:i/>
          <w:sz w:val="20"/>
        </w:rPr>
        <w:t>Effectiveness Period</w:t>
      </w:r>
      <w:r>
        <w:rPr>
          <w:rFonts w:ascii="Times New Roman" w:hAnsi="Times New Roman"/>
          <w:sz w:val="20"/>
        </w:rPr>
        <w:t xml:space="preserve">). The Company shall notify the Holders of the effectiveness of the Registration Statement on the same Trading Day as such effectiveness occurs. The Registration Statement shall be on Form S-3 (except if the Company is not then eligible to register for resale the Registrable Securities on Form S-3, in which case such registration shall be on another appropriate form in accordance with the Securities Act and the rules promulgated thereunder) and shall contain the Plan of Distribution set forth in </w:t>
      </w:r>
      <w:r>
        <w:rPr>
          <w:rFonts w:ascii="Times New Roman" w:hAnsi="Times New Roman"/>
          <w:sz w:val="20"/>
          <w:u w:val="single"/>
        </w:rPr>
        <w:t>Exhibit A</w:t>
      </w:r>
      <w:r>
        <w:rPr>
          <w:rFonts w:ascii="Times New Roman" w:hAnsi="Times New Roman"/>
          <w:sz w:val="20"/>
        </w:rPr>
        <w:t xml:space="preserve"> hereto (unless otherwise directed by all of the Holders). Notwithstanding anything to the contrary contained herein, in no event shall the Company be permitted to name any Holder or Affiliate of a Holder as an underwriter without the prior written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registration obligations set forth in Section 2.1(a),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2.1(f); with respect to filing on Form S-3 or other appropriate form, and subject to the provisions of Section 2.1(e) with respect to the payment of liquidated damages; provided, however,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of this Agreement and subject to the payment of liquidated damages pursuant to Section 2.1(e),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First, the Company shall reduce or eliminate any securities to be included other than Registrable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(ii) Second, the Company shall reduce Registrable Securities represented by the Shares and the Warrant Shares (applied to the Holders on a pro rata basis based on the total number of unregistered Shares and Warrant Shares held by such Holders).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of a cutback hereunder, the Company shall give each Holder at least five Trading Days prior written notice along with the calculations as to such Holders allotment of Registrable Securities to be registered on such Registration Statement and, unless such Holder otherwise elects (by written notice delivered to the Company within three Trading Days following its receipt of such notice), the Registrable Securities to be registered on behalf of such Holder shall be allocated first to any Registrable Securities represented by Shares held by such Holder and thereafter to any Registrable Securities represented by Warrant Shares held by such Holder. In the event the Company amends the initial Registration Statement in accordance with the foregoing, the Company will use its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w:t>
      </w:r>
    </w:p>
    <w:p>
      <w:pPr>
        <w:pStyle w:val="TextBody"/>
        <w:bidi w:val="0"/>
        <w:spacing w:before="240" w:after="0"/>
        <w:jc w:val="left"/>
        <w:rPr>
          <w:rFonts w:ascii="Times New Roman" w:hAnsi="Times New Roman"/>
          <w:sz w:val="20"/>
        </w:rPr>
      </w:pPr>
      <w:r>
        <w:rPr>
          <w:rFonts w:ascii="Times New Roman" w:hAnsi="Times New Roman"/>
          <w:sz w:val="20"/>
        </w:rPr>
        <w:t xml:space="preserve">(e) If: (i) the initial Registration Statement is not filed on or prior to its Filing Date, or (ii) except with respect to the initial Registration Statement, the Company fails to file with the Commission a request for acceleration of a Registration Statement in accordance with Rule 461 promulgated by the Commission pursuant to the Securities Act, within three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calendar days after the receipt of comments by or notice from the Commission that such amendment is required in order for such Registration Statement to be declared effective, or (iv), a Registration Statement registering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consecutive calendar days or more than an aggregate of 15 calendar days (which need not be consecutive calendar days) during any 12-month period (any such failure or breach being referred to as an Event, and for purposes of clauses (i) and (iii), the date on which such Event occurs, and for purpose of clause (ii) the date which such ten calendar day period is exceeded, and for purpose of clause (v) the date on which such ten or 15 calendar day period, as applicable, is exceeded being referred to as Event Date),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10.0%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w:t>
      </w:r>
    </w:p>
    <w:p>
      <w:pPr>
        <w:pStyle w:val="TextBody"/>
        <w:bidi w:val="0"/>
        <w:spacing w:before="240" w:after="0"/>
        <w:jc w:val="left"/>
        <w:rPr>
          <w:rFonts w:ascii="Times New Roman" w:hAnsi="Times New Roman"/>
          <w:sz w:val="20"/>
        </w:rPr>
      </w:pPr>
      <w:r>
        <w:rPr>
          <w:rFonts w:ascii="Times New Roman" w:hAnsi="Times New Roman"/>
          <w:sz w:val="20"/>
        </w:rPr>
        <w:t xml:space="preserve">(f) If Form S-3 is not available for the registration of the resale of Registrable Securities hereunder, the Company shall (i) register the resale of the Registrable Securities on Form S-1 or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(g) Prepare and file with the Commission such amendments, including post-effective amendments, to the Registration Statement as may be necessary to keep the Registration Statement continuously effective under the Securities Act during the Effectiveness Period; cause the related prospectus to be amended or supplemented by any required prospectus supplement, and as so supplemented or amended to be filed pursuant to Rule 424 (or any similar provisions then in force) promulgated under the Securities Act; respond as promptly as practicable to any comments received from the Commission with respect to the Registration Statement or any amendment thereto; and comply in all material respects with the provisions of the Securities Act and the Exchange Act with respect to the disposition of all Registrable Securities covered by the Registration Statement during the applicable period in accordance with the intended methods of disposition by the Holders thereof set forth in the Registration Statement as so amended or in such prospectus as so supplemented. </w:t>
      </w:r>
    </w:p>
    <w:p>
      <w:pPr>
        <w:pStyle w:val="TextBody"/>
        <w:bidi w:val="0"/>
        <w:spacing w:before="240" w:after="0"/>
        <w:jc w:val="left"/>
        <w:rPr>
          <w:rFonts w:ascii="Times New Roman" w:hAnsi="Times New Roman"/>
          <w:sz w:val="20"/>
        </w:rPr>
      </w:pPr>
      <w:r>
        <w:rPr>
          <w:rFonts w:ascii="Times New Roman" w:hAnsi="Times New Roman"/>
          <w:sz w:val="20"/>
        </w:rPr>
        <w:t xml:space="preserve">(h) At the time the Commission declares the Registration Statement effective, each Holder shall be named as a selling securityholder in the Registration Statement and the related prospectus in such a manner as to permit such Holder to deliver such prospectus to purchasers of Registrable Securities included in the Registration Statement in accordance with applicable law, subject to the terms and conditions hereof. The Company shall promptly notify the Holders of Registrable Securities (i)(A) when a Registration Statement, a prospectus or any prospectus supplement or pre-or post-effective amendment to the Registration Statement is filed; (B) when the Commission notifies the Company whether there will be a review of such Registration Statement and whenever the Commission comments in writing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and if requested by such Holders, furnish to them a copy of such comments and the Companys responses thereto and (C) with respect to the Registration Statement or any post-effective amendment filed by the Company, when the same has become effective; (ii) of any request by the Commission or any other Federal or state governmental authority for amendments or supplements to the Registration Statement or prospectus or for additional information of the Company; (iii) of the issuance by the Commission of any stop order suspending the effectiveness of the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of the Company for sale in any jurisdiction, or the initiation or threatening of any Proceeding for such purpose; and (v) of the occurrence of any event that makes any statement made in the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light of the circumstances under which they were made, not misleading; provided, however, that in no event shall any such notice contain any information which would constitute material, non-public information regarding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 Use its reasonable efforts to avoid the issuance of, and, if issued, to obtain the withdrawal of, (i) any order suspending the effectiveness of the Registration Statement or (ii) any suspension of the qualification (or exemption from qualification) of any of the Registrable Securities for sale in any U.S.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If requested by the Holders of a majority of the Registrable Securities, (i) promptly incorporate in a prospectus supplement or post-effective amendment to the Registration Statement such information as such Holders reasonably request to be included therein unless the inclusion of such information would reasonably be expected to expose the Company to liability under federal and state securities laws and regulations and (ii) make all required filings of such prospectus supplement or such post-effective amendment as soon as practicable after the Company has received notification of the matters to be incorporated in such prospectus supplement or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(k) Furnish to each Holder, without charge and upon request, at least one conformed copy of each Registration Statement and each amendment thereto, including financial statements and schedules, and, to the extent requested by such Person, all documents incorporated or deemed to be incorporated therein by reference, and all exhibits (including those previously furnished or incorporated by reference) promptly after the filing of such documents with the SEC, </w:t>
      </w:r>
      <w:r>
        <w:rPr>
          <w:rFonts w:ascii="Times New Roman" w:hAnsi="Times New Roman"/>
          <w:i/>
          <w:sz w:val="20"/>
        </w:rPr>
        <w:t>provided</w:t>
      </w:r>
      <w:r>
        <w:rPr>
          <w:rFonts w:ascii="Times New Roman" w:hAnsi="Times New Roman"/>
          <w:sz w:val="20"/>
        </w:rPr>
        <w:t xml:space="preserve">, that the Company shall have no obligation to provide any document pursuant to this clause that is available on the SECs EDGAR system. </w:t>
      </w:r>
    </w:p>
    <w:p>
      <w:pPr>
        <w:pStyle w:val="TextBody"/>
        <w:bidi w:val="0"/>
        <w:spacing w:before="240" w:after="0"/>
        <w:jc w:val="left"/>
        <w:rPr>
          <w:rFonts w:ascii="Times New Roman" w:hAnsi="Times New Roman"/>
          <w:sz w:val="20"/>
        </w:rPr>
      </w:pPr>
      <w:r>
        <w:rPr>
          <w:rFonts w:ascii="Times New Roman" w:hAnsi="Times New Roman"/>
          <w:sz w:val="20"/>
        </w:rPr>
        <w:t xml:space="preserve">(l) Promptly deliver to each Holder, without charge, as many copies of the prospectus or prospectuses (including each form of prospectus) and each amendment or supplement thereto as such Persons may reasonably request; and the Company hereby consents to the use of such prospectus and each amendment or supplement thereto by each of the selling Holders in connection with the offering and sale of the Registrable Securities covered by such prospectus and any amendment or supplement thereto to the extent permitted by federal and state securities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(m) Cooperate with the Holders to facilitate the timely preparation and delivery of certificates representing Registrable Securities of the Company to be sold pursuant to a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Upon the occurrence of any event contemplated by Section 2.1(h)(v), as promptly as practicable prepare a supplement or amendment, including a post-effective amendment, to the Registration Statement or a supplement to the related prospectus or any document incorporated or deemed to be incorporated therein by reference, and file any other required document so that, as thereafter delivered, neither the Registration Statement nor such prospectus will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(o) Use its reasonable efforts to cause all Registrable Securities relating to the Registration Statement to be listed on the Nasdaq Stock Market, LLC or any subsequent securities exchange, quotation system or market, if any, on which similar securities issued by the Company are then listed or traded. </w:t>
      </w:r>
    </w:p>
    <w:p>
      <w:pPr>
        <w:pStyle w:val="TextBody"/>
        <w:bidi w:val="0"/>
        <w:spacing w:before="240" w:after="0"/>
        <w:jc w:val="left"/>
        <w:rPr>
          <w:rFonts w:ascii="Times New Roman" w:hAnsi="Times New Roman"/>
          <w:sz w:val="20"/>
        </w:rPr>
      </w:pPr>
      <w:r>
        <w:rPr>
          <w:rFonts w:ascii="Times New Roman" w:hAnsi="Times New Roman"/>
          <w:sz w:val="20"/>
        </w:rPr>
        <w:t xml:space="preserve">(p) The Company may require each selling Holder to furnish to the Company information regarding such Holder and the distribution of such Registrable Securities as is required by law to be disclosed in the Registration Statement, and the Company may exclude from such registration the Registrable Securities of any such Holder who fails to furnish such information within 15 days after receiving such request. </w:t>
      </w:r>
    </w:p>
    <w:p>
      <w:pPr>
        <w:pStyle w:val="TextBody"/>
        <w:bidi w:val="0"/>
        <w:spacing w:before="240" w:after="0"/>
        <w:jc w:val="left"/>
        <w:rPr>
          <w:rFonts w:ascii="Times New Roman" w:hAnsi="Times New Roman"/>
          <w:sz w:val="20"/>
        </w:rPr>
      </w:pPr>
      <w:r>
        <w:rPr>
          <w:rFonts w:ascii="Times New Roman" w:hAnsi="Times New Roman"/>
          <w:sz w:val="20"/>
        </w:rPr>
        <w:t>(q) If (i) there is material non-public information regarding the Company which the Companys board of directors reasonably determines not to be in the Companys best interest to disclose and which the Company is not otherwise required to disclose, or (ii) there is a significant business opportunity (including, but not limited to, the acquisition or disposition of assets (other than in the ordinary course of business) or any merger, consolidation, tender offer or other similar transaction) available to the Company which the Companys board of directors reasonably determines not to be in the Companys best interest to disclose, then the Company may postpone or suspend filing or effectiveness of a Registration Statement, other than the initial Registration Statement required to be filed pursuant to Section 2.1(a), for a period (a </w:t>
      </w:r>
      <w:r>
        <w:rPr>
          <w:rFonts w:ascii="Times New Roman" w:hAnsi="Times New Roman"/>
          <w:b/>
          <w:i/>
          <w:sz w:val="20"/>
        </w:rPr>
        <w:t>Deferral Period</w:t>
      </w:r>
      <w:r>
        <w:rPr>
          <w:rFonts w:ascii="Times New Roman" w:hAnsi="Times New Roman"/>
          <w:sz w:val="20"/>
        </w:rPr>
        <w:t xml:space="preserve">) not to exceed 60 consecutive days, provided that the Company may not postpone or suspend its obligation under this Section 2.1(q) for more than 90 days in the aggregate during any 12-month period; provided, however, that no such postponement or suspension by the Company shall be permitted for more than one 60-day period, arising out of the same set of facts, circumstances or transactions. </w:t>
      </w:r>
    </w:p>
    <w:p>
      <w:pPr>
        <w:pStyle w:val="TextBody"/>
        <w:bidi w:val="0"/>
        <w:spacing w:before="240" w:after="0"/>
        <w:jc w:val="left"/>
        <w:rPr>
          <w:rFonts w:ascii="Times New Roman" w:hAnsi="Times New Roman"/>
          <w:sz w:val="20"/>
        </w:rPr>
      </w:pPr>
      <w:r>
        <w:rPr>
          <w:rFonts w:ascii="Times New Roman" w:hAnsi="Times New Roman"/>
          <w:sz w:val="20"/>
        </w:rPr>
        <w:t xml:space="preserve">(r) The Company shall use its reasonable efforts to register or qualify, or cooperate with the Holders of the Registrable Securities included in the Registration Statement in connection with the registration or qualification of, the resale of the Registrable Securities under applicable securities or blue sky laws of such states of the United States as any such Holder requests in writing and to do any and all other acts or things necessary or advisable to enable the offer and sale in such jurisdictions of the Registrable Securities covered by the Registration Statement; provided, however, that the Company shall not be required to (i) qualify generally to do business in any jurisdiction where it is not then so qualified or (ii) take any action that would subject it to general service of process or to taxation in any jurisdiction to which it is not then so subject. </w:t>
      </w:r>
    </w:p>
    <w:p>
      <w:pPr>
        <w:pStyle w:val="TextBody"/>
        <w:bidi w:val="0"/>
        <w:spacing w:before="240" w:after="0"/>
        <w:jc w:val="left"/>
        <w:rPr>
          <w:rFonts w:ascii="Times New Roman" w:hAnsi="Times New Roman"/>
          <w:sz w:val="20"/>
        </w:rPr>
      </w:pPr>
      <w:r>
        <w:rPr>
          <w:rFonts w:ascii="Times New Roman" w:hAnsi="Times New Roman"/>
          <w:sz w:val="20"/>
        </w:rPr>
        <w:t xml:space="preserve">(s) The Company will comply with all rules and regulations of the Commission to the extent and so long as they are applicable to the Registration and will make generally available to its security holders (or otherwise provide in accordance with Section 11(a) of the Securities Act) an earnings statement (which need not be audited) satisfying the provisions of Section 11(a) of the Securities Act and Rule 158 thereunder, no later than 45 days after the end of a 12-month period (or 90 days, if such period is a fiscal year) beginning with the Companys first fiscal quarter commencing after the effective date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Holder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least five Business Days prior to the first anticipated filing date of a Registration Statement, the Company shall notify each Holder in writing of the information the Company requires from each such Holder if such Holder elects to have any of such Holders Registrable Securities included in such Registration Statement. It shall be a condition precedent to the obligations of the Company to complete the registration pursuant to this Agreement with respect to the Registrable Securities of a particular Holder that (i) such Holder furnish to the Company such information regarding itself and the Registrable Securities held by it as shall be reasonably required to effect the effectiveness of the registration of such Registrable Securities, and (ii) the Holder execute such documents in connection with such registration as the Company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Each Holder covenants and agrees by its acquisition of such Registrable Securities that (i) it will not sell any Registrable Securities under the Registration Statement until it has received copies of the prospectus as then amended or supplemented as contemplated in Section 2.1(l) and notice from the Company that such Registration Statement and any post-effective amendments thereto have become effective as contemplated by Section 2.1(h) and (ii) it and its officers, directors or Affiliates, if any, will comply with the prospectus delivery requirements of the Securities Act as applicable to them in connection with sales of Registrable Securities pursuant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Upon receipt of a notice from the Company of the occurrence of any event of the kind described in Section 2.1(h)(ii), 2.1(h)(iii), 2.1(h)(iv), 2.1(h)(v) or 2.1(l), such Holder will forthwith discontinue disposition of such Registrable Securities under the Registration Statement until such Holders receipt of the copies of the supplemented prospectus and/or amended Registration Statement contemplated by Section 2.1(n), or until it is advised in writing by the Company that the use of the applicable prospectus may be resumed, and, in either case, has received copies of any additional or supplemental filings that are incorporated or deemed to be incorporated by reference in such prospectus or Registration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EXPENSES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Registration Expenses</w:t>
      </w:r>
      <w:r>
        <w:rPr>
          <w:rFonts w:ascii="Times New Roman" w:hAnsi="Times New Roman"/>
          <w:sz w:val="20"/>
        </w:rPr>
        <w:t xml:space="preserve">. All reasonable fees and expenses incident to the performance of or compliance with this Agreement by the Company (excluding underwriters discounts and commissions and all fees and expenses of legal counsel, accountants and other advisors for any Purchaser except as specifically provided below), except as and to the extent specified in this Section 3.1, shall be borne by the Company whether or not a Registration Statement is filed by the Company or becomes effective and whether or not any Registrable Securities are sold pursuant to a Registration Statement. The fees and expenses referred to in the foregoing sentence shall include, without limitation, (i) all registration and filing fees (including, without limitation, fees and expenses (A) with respect to filings required to be made with the Nasdaq Stock Market, LLC and each other securities exchange or market on which Registrable Securities are required hereunder to be listed, (B) with respect to filings required to be made by the Company with the Financial Industry Regulatory Authority and (C) in compliance with state securities or Blue Sky laws by the Company or with respect to Registrable Securities, (ii) messenger, telephone and delivery expenses, printing fees and expenses, (iii) fees and disbursements of counsel for the Company, (iv) Securities Act liability insurance, if the Company so desires such insurance, and (v) fees and expenses of all other Persons retained by the Company in connection with the consummation of the transactions contemplated by this Agreement, including, without limitation, the Companys independent public accountants).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the fees and expenses incurred in connection with the listing of the Registrable Securities on any securities exchange as required hereunder. In no event shall the Company be responsible for any underwriting, broker or similar fees or commissions of any Purchaser or, except to the extent provided for above or in the Transaction Documents, any legal fees or other costs of the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Indemnification by the Company</w:t>
      </w:r>
      <w:r>
        <w:rPr>
          <w:rFonts w:ascii="Times New Roman" w:hAnsi="Times New Roman"/>
          <w:sz w:val="20"/>
        </w:rPr>
        <w:t>. The Company shall, notwithstanding any termination of this Agreement, indemnify and hold harmless each Holder, its permitted assignees, officers, directors, agents, brokers (including brokers who offer and sell Registrable Securities as principal as a result of a pledge or any failure to perform under a margin call of Company Common Stock), underwriters, investment advisors, investment managers, partners and employees, each Person who controls any such Holder or permitted assignee (within the meaning of Section 15 of the Securities Act or Section 20 of the Exchange Act) and the officers, directors, agents and employees of each such controlling Person, and the respective successors, assigns, estate and personal representatives of each of the foregoing, to the fullest extent permitted by applicable law, from and against any and all claims, losses, damages, liabilities, penalties, judgments, costs (including, without limitation, costs of investigation) and expenses (including, without limitation, reasonable attorneys fees and expenses) (collectively, </w:t>
      </w:r>
      <w:r>
        <w:rPr>
          <w:rFonts w:ascii="Times New Roman" w:hAnsi="Times New Roman"/>
          <w:b/>
          <w:i/>
          <w:sz w:val="20"/>
        </w:rPr>
        <w:t>Losses</w:t>
      </w:r>
      <w:r>
        <w:rPr>
          <w:rFonts w:ascii="Times New Roman" w:hAnsi="Times New Roman"/>
          <w:sz w:val="20"/>
        </w:rPr>
        <w:t xml:space="preserve">), arising out of or relating to any untrue or alleged untrue statement of a material fact contained in the Registration Statement, (1) any prospectus, as supplemented or amended, if applicable,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(i) to the extent, but only to the extent, that such untrue statements or omissions or alleged untrue statements or omissions are based upon information regarding such Holder furnished in writing to the Company by such Holder expressly for use in such Registration Statement, such prospectus or in any amendment or supplement thereto or to the extent that such information relates to such Holder or such Holders proposed method of distribution of Registrable Securities and was furnished in writing by such Holder expressly for use therein (it being understood that each Holder has approved </w:t>
      </w:r>
      <w:r>
        <w:rPr>
          <w:rFonts w:ascii="Times New Roman" w:hAnsi="Times New Roman"/>
          <w:sz w:val="20"/>
          <w:u w:val="single"/>
        </w:rPr>
        <w:t>Exhibit A</w:t>
      </w:r>
      <w:r>
        <w:rPr>
          <w:rFonts w:ascii="Times New Roman" w:hAnsi="Times New Roman"/>
          <w:sz w:val="20"/>
        </w:rPr>
        <w:t xml:space="preserve"> hereto for this purpose); or (ii) in the case of an occurrence of an event of the type specified in Section 2.1(h)(ii) through (v), the use by a Holder of an outdated or defective prospectus, but only if and to the extent that following such receipt the misstatement or omission giving rise to such Loss would have been corrected; provided, however, that the indemnity agreement contained in this Section 4.1 shall not apply to amounts paid in settlement of any Losses if such settlement is effected without the prior written consent of the Company, which consent shall not be unreasonably withheld, conditioned or delayed. The Company shall notify such Holder promptly of the institution, threat or assertion of any Proceeding of which the Company is aware in connection with the transactions contemplated by this Agreement. Such indemnity shall remain in full force and effect regardless of any investigation made by or on behalf of an Indemnified Party (as defined in Section 4.3(a) hereof) and shall survive the transfer of the Registrable Securities by the Holder.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Indemnification by Holders</w:t>
      </w:r>
      <w:r>
        <w:rPr>
          <w:rFonts w:ascii="Times New Roman" w:hAnsi="Times New Roman"/>
          <w:sz w:val="20"/>
        </w:rPr>
        <w:t xml:space="preserve">. Each Holder and its permitted assignees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and the respective successors, assigns, estate and personal representatives of each of the foregoing, to the fullest extent permitted by applicable law, from and against all Losses, as incurred, arising out of or relating to any untrue or alleged untrue statement of a material fact contained in any Registration Statement, any prospectus, as supplemented or amended, if applicable, or arising out of or relating to any omission or alleged omission of a material fact required to be stated therein or necessary to make the statements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any prospectus or supplement thereto, in the light of the circumstances under which they were made) not misleading, to the extent, but only to the extent, that such untrue statement or omission or alleged untrue statement or omission is contained in or omitted from any information regarding such Holder furnished in writing to the Company by such Holder expressly for use in therein, and that such information was reasonably relied upon by the Company for use therein, or to the extent that such information relates to such Holder or such Holders proposed method of distribution of Registrable Securities and was furnished in writing by such Holder expressly for use therein (it being understood that each Holder has approved </w:t>
      </w:r>
      <w:r>
        <w:rPr>
          <w:rFonts w:ascii="Times New Roman" w:hAnsi="Times New Roman"/>
          <w:sz w:val="20"/>
          <w:u w:val="single"/>
        </w:rPr>
        <w:t>Exhibit A</w:t>
      </w:r>
      <w:r>
        <w:rPr>
          <w:rFonts w:ascii="Times New Roman" w:hAnsi="Times New Roman"/>
          <w:sz w:val="20"/>
        </w:rPr>
        <w:t xml:space="preserve"> hereto for this purpose); </w:t>
      </w:r>
      <w:r>
        <w:rPr>
          <w:rFonts w:ascii="Times New Roman" w:hAnsi="Times New Roman"/>
          <w:i/>
          <w:sz w:val="20"/>
        </w:rPr>
        <w:t>provided, however</w:t>
      </w:r>
      <w:r>
        <w:rPr>
          <w:rFonts w:ascii="Times New Roman" w:hAnsi="Times New Roman"/>
          <w:sz w:val="20"/>
        </w:rPr>
        <w:t xml:space="preserve">, that in no event shall a Holders liability pursuant to this </w:t>
      </w:r>
      <w:r>
        <w:rPr>
          <w:rFonts w:ascii="Times New Roman" w:hAnsi="Times New Roman"/>
          <w:sz w:val="20"/>
          <w:u w:val="single"/>
        </w:rPr>
        <w:t>Section 4.2</w:t>
      </w:r>
      <w:r>
        <w:rPr>
          <w:rFonts w:ascii="Times New Roman" w:hAnsi="Times New Roman"/>
          <w:sz w:val="20"/>
        </w:rPr>
        <w:t xml:space="preserve">, exceed the proceeds from the offering received by such Holder, except in the case of willful misconduct or fraud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Conduct of Indemnification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any Proceeding shall be brought or asserted against any Person entitled to indemnity hereunder (an </w:t>
      </w:r>
      <w:r>
        <w:rPr>
          <w:rFonts w:ascii="Times New Roman" w:hAnsi="Times New Roman"/>
          <w:b/>
          <w:i/>
          <w:sz w:val="20"/>
        </w:rPr>
        <w:t>Indemnified Party</w:t>
      </w:r>
      <w:r>
        <w:rPr>
          <w:rFonts w:ascii="Times New Roman" w:hAnsi="Times New Roman"/>
          <w:sz w:val="20"/>
        </w:rPr>
        <w:t>), such Indemnified Party promptly shall notify the Person from whom indemnity is sought (the </w:t>
      </w:r>
      <w:r>
        <w:rPr>
          <w:rFonts w:ascii="Times New Roman" w:hAnsi="Times New Roman"/>
          <w:b/>
          <w:i/>
          <w:sz w:val="20"/>
        </w:rPr>
        <w:t>Indemnifying Party</w:t>
      </w:r>
      <w:r>
        <w:rPr>
          <w:rFonts w:ascii="Times New Roman" w:hAnsi="Times New Roman"/>
          <w:sz w:val="20"/>
        </w:rPr>
        <w:t xml:space="preserve">) in writing, and the Indemnifying Party shall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(b) 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is likely to exist if the same counsel were to represent such Indemnified Party and the Indemnifying Party (in which case, the Indemnifying Party shall be responsible for reasonable fees and expenses of no more than one separate counsel (together with appropriate local counsel) for the Indemnified Parties). The Indemnifying Party shall not be liable for any settlement of any such Proceeding effected without its written consent, which consent shall not be unreasonably withheld, conditioned or delayed. No Indemnifying Party shall, without the prior written consent of the Indemnified Party, effect any settlement of any pending Proceeding in respect of which any Indemnified Party is or could have been a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(c) All reasonable fees and expenses of the Indemnified Party (including reasonable fees and expenses to the extent incurred in connection with investigating or preparing to defend such Proceeding in a manner not inconsistent with this Section) shall be paid by the Indemnifying Party to the Indemnified Party, as incurred, within 20 Business Days of written notice thereof to the Indemnifying Party (regardless of whether it is ultimately determined that an Indemnified Party is not entitled to indemnification hereunder; provided, that the Indemnifying Party may require such Indemnified Party to undertake to reimburse all such fees and expenses to the extent it is finally judicially determined that such Indemnified Party is not entitled to indemnification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claim for indemnification under Section 4.1 or 4.2 is unavailable to an Indemnified Party, including because of a failure or refusal of a governmental authority to enforce such indemnification in accordance with its terms (by reason of public policy or otherwise),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Section 4.3,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hereto agree that it would not be just and equitable if contribution pursuant to this Section 4.4 were determined by pro rata allocation or by any other method of allocation that does not take into account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(c) The indemnity and contribution agreements contained in this </w:t>
      </w:r>
      <w:r>
        <w:rPr>
          <w:rFonts w:ascii="Times New Roman" w:hAnsi="Times New Roman"/>
          <w:sz w:val="20"/>
          <w:u w:val="single"/>
        </w:rPr>
        <w:t>Article IV</w:t>
      </w:r>
      <w:r>
        <w:rPr>
          <w:rFonts w:ascii="Times New Roman" w:hAnsi="Times New Roman"/>
          <w:sz w:val="20"/>
        </w:rPr>
        <w:t xml:space="preserve"> are in addition to any liability that the Indemnifying Parties may have to the Indemnified Parties.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Effectiveness</w:t>
      </w:r>
      <w:r>
        <w:rPr>
          <w:rFonts w:ascii="Times New Roman" w:hAnsi="Times New Roman"/>
          <w:sz w:val="20"/>
        </w:rPr>
        <w:t xml:space="preserve">. The Companys obligations hereunder shall be conditioned upon the occurrence of the Closing under the Purchase Agreement, and this Agreement shall not be effective until such Closing. If the Purchase Agreement shall be terminated prior to the Closing, then this Agreement shall be void and of no further force or effect (and no party hereto shall have any rights or obligations with respect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Remedies</w:t>
      </w:r>
      <w:r>
        <w:rPr>
          <w:rFonts w:ascii="Times New Roman" w:hAnsi="Times New Roman"/>
          <w:sz w:val="20"/>
        </w:rPr>
        <w:t xml:space="preserve">. In the event of a breach by the Company or by a Holder, of any of their obligations under this Agreement, each non-breaching Holder and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Entire Agreement; Amendment</w:t>
      </w:r>
      <w:r>
        <w:rPr>
          <w:rFonts w:ascii="Times New Roman" w:hAnsi="Times New Roman"/>
          <w:sz w:val="20"/>
        </w:rPr>
        <w:t xml:space="preserve">. This Agreement and the other Transaction Documents contain the entire understanding and agreement of the parties with respect to the matters covered hereby and, except as specifically set forth herein or therein, neither the Company nor any Holder make any representation, warranty, covenant or undertaking with respect to such matters, and they supersede all prior understandings and agreements with respect to said subject matter, all of which are merged herein. This Agreement and any term hereof may be amended, terminated or waived only with the written consent of the Company and the Holders of at least a majority of all outstanding Registrable Securities then held by all Holders. Any amendment or waiver effected in accordance with this Section 5.3 shall be binding upon each Holder (and their permitted assigns); provided that, if any amendment, modification or waiver disproportionately and adversely impacts a Holder (or group of Holders), the consent of such disproportionately impacted Holder (or group of Holders) shall be required.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 Inconsistent Agreements</w:t>
      </w:r>
      <w:r>
        <w:rPr>
          <w:rFonts w:ascii="Times New Roman" w:hAnsi="Times New Roman"/>
          <w:sz w:val="20"/>
        </w:rPr>
        <w:t xml:space="preserve">. The Company will not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email at the email address specified in this Section prior to 4:00 p.m. (New York City time) on a Trading Day, (b) the next Trading Day after the date of transmission, if such notice or communication is delivered via email at the email address specified in this Section on a day that is not a Trading Day or later than 4:00 p.m. (New York City time) on any Trading Day, (c) the Trading Day following the date of deposit with a nationally recognized overnight courier service, or (d) upon actual receipt by the party to whom such notice is required to be given. The addresses and email addresses for such notices and communications are those set forth below, or such other address or email address as may be designated in writing hereafter, in the same manner, by any such Person: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Kura Oncology, Inc. </w:t>
      </w:r>
    </w:p>
    <w:p>
      <w:pPr>
        <w:pStyle w:val="TextBody"/>
        <w:bidi w:val="0"/>
        <w:spacing w:before="0" w:after="0"/>
        <w:jc w:val="left"/>
        <w:rPr>
          <w:rFonts w:ascii="Times New Roman" w:hAnsi="Times New Roman"/>
          <w:sz w:val="20"/>
        </w:rPr>
      </w:pPr>
      <w:r>
        <w:rPr>
          <w:rFonts w:ascii="Times New Roman" w:hAnsi="Times New Roman"/>
          <w:sz w:val="20"/>
        </w:rPr>
        <w:t xml:space="preserve">12730 High Bluff Drive, Suite 400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92130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with copies (which copies shall not constitute notice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10265 Science Center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left"/>
        <w:rPr>
          <w:rFonts w:ascii="Times New Roman" w:hAnsi="Times New Roman"/>
          <w:sz w:val="20"/>
        </w:rPr>
      </w:pPr>
      <w:r>
        <w:rPr>
          <w:rFonts w:ascii="Times New Roman" w:hAnsi="Times New Roman"/>
          <w:sz w:val="20"/>
        </w:rPr>
        <w:t xml:space="preserve">Attention: Charles Bair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If to the Purchasers: </w:t>
      </w:r>
    </w:p>
    <w:p>
      <w:pPr>
        <w:pStyle w:val="TextBody"/>
        <w:bidi w:val="0"/>
        <w:spacing w:before="120" w:after="0"/>
        <w:jc w:val="left"/>
        <w:rPr>
          <w:rFonts w:ascii="Times New Roman" w:hAnsi="Times New Roman"/>
          <w:sz w:val="20"/>
        </w:rPr>
      </w:pPr>
      <w:r>
        <w:rPr>
          <w:rFonts w:ascii="Times New Roman" w:hAnsi="Times New Roman"/>
          <w:sz w:val="20"/>
        </w:rPr>
        <w:t xml:space="preserve">To their respective addresses as set forth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Waivers</w:t>
      </w:r>
      <w:r>
        <w:rPr>
          <w:rFonts w:ascii="Times New Roman" w:hAnsi="Times New Roman"/>
          <w:sz w:val="20"/>
        </w:rPr>
        <w:t xml:space="preserve">. No waiver by either party of any default with respect to any provision, condition or requirement of this Agreement shall be deemed to be a continuing waiver in the future or a waiver of any other provision, condition or requirement hereof, nor shall any delay or omission of any party to exercise any right hereunder in any manner impair the exercise of any such right accruing to it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successors and permitted assigns and shall inure to the benefit of each Holder and its successors and assigns, except that the Indemnified Parties are express third party beneficiaries of the provisions of Article IV, entitled to enforce such provisions as if a party thereto. The Company may not assign this Agreement or any of its rights or obligations hereunder without the prior written consent of the Holders of at least a majority of all Registrable Securities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Assignment of Registration Rights</w:t>
      </w:r>
      <w:r>
        <w:rPr>
          <w:rFonts w:ascii="Times New Roman" w:hAnsi="Times New Roman"/>
          <w:sz w:val="20"/>
        </w:rPr>
        <w:t xml:space="preserve">. The rights of each Holder hereunder, including the right to have the Company register for resale Registrable Securities in accordance with the terms of this Agreement, shall be assignable by each Holder of all or a portion of the Registrable Securities if: (i) the Holder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Registrable Securities with respect to which such registration rights are being transferred or assigned to such transferee or assignee, (iii) following such transfer or assignment the further disposition of such securities by the transferee or assignees is restricted under the Securities Act and applicable state securities laws, (iv) at or before the time the Company receives the written notice contemplated by clause (ii) of this Section, the transferee or assignee agrees in writing with the Company to be bound by all of the provisions of this Agreement, and (v) such transfer shall have been made in accordance with the applicable requirements of the Purchase Agreement. The rights to assignment shall apply to the Holders (and to subsequent)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Termination</w:t>
      </w:r>
      <w:r>
        <w:rPr>
          <w:rFonts w:ascii="Times New Roman" w:hAnsi="Times New Roman"/>
          <w:sz w:val="20"/>
        </w:rPr>
        <w:t xml:space="preserve">. This Agreement shall terminate at the end of the Effectiveness Period, except that Articles III and VI and this Article V shall remain in effect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Governing Law; Jurisdiction</w:t>
      </w:r>
      <w:r>
        <w:rPr>
          <w:rFonts w:ascii="Times New Roman" w:hAnsi="Times New Roman"/>
          <w:sz w:val="20"/>
        </w:rPr>
        <w:t xml:space="preserve">. This Agreement shall be governed by, and construed in accordance with, the internal laws of the State of New York without regard to the choice of law principles thereof. Each of the parties hereto irrevocably submits to the exclusive jurisdiction of the state and federal courts located in the State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If any party hereto shall commence an action or proceeding to enforce any provisions of the Transaction Documents, then, the prevailing party in such action or proceeding shall be reimbursed by the non-prevailing party for its reasonable attorneys fees and other costs and expenses incurred with the investigation, preparation and prosecution of such action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Counterparts; Execution</w:t>
      </w:r>
      <w:r>
        <w:rPr>
          <w:rFonts w:ascii="Times New Roman" w:hAnsi="Times New Roman"/>
          <w:sz w:val="20"/>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Severability</w:t>
      </w:r>
      <w:r>
        <w:rPr>
          <w:rFonts w:ascii="Times New Roman" w:hAnsi="Times New Roman"/>
          <w:sz w:val="20"/>
        </w:rPr>
        <w:t xml:space="preserve">. If any provision hereof should be held invalid, illegal or unenforceable in any respect, then, to the fullest extent permitted by law, (a) all other provisions hereof shall remain in full force and effect and shall be liberally construed in order to carry out the intentions of the parties as nearly as may be possible and (b) the parties shall use their best efforts to replace the invalid, illegal or unenforceable provision(s) with valid, legal and enforceable provision(s) which, insofar as practical, implement the purposes of such provision(s)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No Piggyback on Registrations; Prohibition on Filing Other Registration Statements</w:t>
      </w:r>
      <w:r>
        <w:rPr>
          <w:rFonts w:ascii="Times New Roman" w:hAnsi="Times New Roman"/>
          <w:sz w:val="20"/>
        </w:rPr>
        <w:t xml:space="preserve">.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5.14 shall not prohibit the Company from filing (i) amendments to registration statements filed prior to the date of this Agreement so long as no new securities are registered on any such existing registration statements and (ii) a registration statement on Form S-8 pursuant to any benefits plans or arrangements existing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Independent Nature of Holders Obligations and Rights</w:t>
      </w:r>
      <w:r>
        <w:rPr>
          <w:rFonts w:ascii="Times New Roman" w:hAnsi="Times New Roman"/>
          <w:sz w:val="20"/>
        </w:rPr>
        <w:t xml:space="preserve">.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Headings; Rules of Construction</w:t>
      </w:r>
      <w:r>
        <w:rPr>
          <w:rFonts w:ascii="Times New Roman" w:hAnsi="Times New Roman"/>
          <w:sz w:val="20"/>
        </w:rPr>
        <w:t xml:space="preserve">. The headings in this Agreement are for convenience only, do not constitute a part of the Agreement and shall not be deemed to limit or affect any of the provisions hereof. Unless otherwise indicated or the context otherwise requires, (i) all references to Sections, Schedules or Exhibits are to Sections, Schedules, Appendices or Exhibits contained in or attached to this Agreement, (b) words in the singular or plural include the singular and plural and pronouns stated in either the masculine, the feminine or neuter gender shall include the masculine, feminine and neuter, (c) the words hereof, herein and words of similar effect shall reference this Agreement in its entirety, and (d) the use of the word including in this Agreement shall be by way of example rather than limitation.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Registration Rights Agreement to be duly executed by their respective authorized signatories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KURA ONCOLOGY,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vAlign w:val="bottom"/>
          </w:tcPr>
          <w:p>
            <w:pPr>
              <w:pStyle w:val="TableContents"/>
              <w:bidi w:val="0"/>
              <w:spacing w:before="0" w:after="283"/>
              <w:jc w:val="left"/>
              <w:rPr>
                <w:i/>
              </w:rPr>
            </w:pPr>
            <w:r>
              <w:rPr>
                <w:i/>
              </w:rPr>
              <w:t>/s/ Troy E. Wilson, Ph.D., J.D.</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Troy E. Wilson, Ph.D., J.D.</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ECOR1 CAPITAL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EcoR1 Capital, LLC, its General Partner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vAlign w:val="bottom"/>
          </w:tcPr>
          <w:p>
            <w:pPr>
              <w:pStyle w:val="TableContents"/>
              <w:bidi w:val="0"/>
              <w:spacing w:before="0" w:after="283"/>
              <w:jc w:val="left"/>
              <w:rPr>
                <w:i/>
              </w:rPr>
            </w:pPr>
            <w:r>
              <w:rPr>
                <w:i/>
              </w:rPr>
              <w:t>/s/ Oleg Nodelman</w:t>
            </w:r>
          </w:p>
        </w:tc>
      </w:tr>
      <w:tr>
        <w:trPr/>
        <w:tc>
          <w:tcPr>
            <w:tcW w:w="66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Oleg Nodelman</w:t>
            </w:r>
          </w:p>
        </w:tc>
      </w:tr>
      <w:tr>
        <w:trPr/>
        <w:tc>
          <w:tcPr>
            <w:tcW w:w="66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ECOR1 CAPITAL FUND QUALIFIED,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EcoR1 Capital, LLC, its General Partner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vAlign w:val="bottom"/>
          </w:tcPr>
          <w:p>
            <w:pPr>
              <w:pStyle w:val="TableContents"/>
              <w:bidi w:val="0"/>
              <w:spacing w:before="0" w:after="283"/>
              <w:jc w:val="left"/>
              <w:rPr>
                <w:i/>
              </w:rPr>
            </w:pPr>
            <w:r>
              <w:rPr>
                <w:i/>
              </w:rPr>
              <w:t>/s/ Oleg Nodelman</w:t>
            </w:r>
          </w:p>
        </w:tc>
      </w:tr>
      <w:tr>
        <w:trPr/>
        <w:tc>
          <w:tcPr>
            <w:tcW w:w="66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Oleg Nodelman</w:t>
            </w:r>
          </w:p>
        </w:tc>
      </w:tr>
      <w:tr>
        <w:trPr/>
        <w:tc>
          <w:tcPr>
            <w:tcW w:w="66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vAlign w:val="bottom"/>
          </w:tcPr>
          <w:p>
            <w:pPr>
              <w:pStyle w:val="TableContents"/>
              <w:bidi w:val="0"/>
              <w:spacing w:before="0" w:after="283"/>
              <w:jc w:val="left"/>
              <w:rPr/>
            </w:pPr>
            <w:r>
              <w:rPr/>
              <w:t>Manager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5575" w:type="dxa"/>
        <w:jc w:val="right"/>
        <w:tblInd w:w="0" w:type="dxa"/>
        <w:tblLayout w:type="fixed"/>
        <w:tblCellMar>
          <w:top w:w="0" w:type="dxa"/>
          <w:left w:w="0" w:type="dxa"/>
          <w:bottom w:w="0" w:type="dxa"/>
          <w:right w:w="0" w:type="dxa"/>
        </w:tblCellMar>
      </w:tblPr>
      <w:tblGrid>
        <w:gridCol w:w="590"/>
        <w:gridCol w:w="60"/>
        <w:gridCol w:w="492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25" w:type="dxa"/>
            <w:tcBorders/>
            <w:vAlign w:val="center"/>
          </w:tcPr>
          <w:p>
            <w:pPr>
              <w:pStyle w:val="TableContents"/>
              <w:bidi w:val="0"/>
              <w:spacing w:before="0" w:after="283"/>
              <w:jc w:val="left"/>
              <w:rPr>
                <w:sz w:val="4"/>
                <w:szCs w:val="4"/>
              </w:rPr>
            </w:pPr>
            <w:r>
              <w:rPr>
                <w:sz w:val="4"/>
                <w:szCs w:val="4"/>
              </w:rPr>
            </w:r>
          </w:p>
        </w:tc>
      </w:tr>
      <w:tr>
        <w:trPr/>
        <w:tc>
          <w:tcPr>
            <w:tcW w:w="5575" w:type="dxa"/>
            <w:gridSpan w:val="3"/>
            <w:tcBorders/>
          </w:tcPr>
          <w:p>
            <w:pPr>
              <w:pStyle w:val="TableContents"/>
              <w:bidi w:val="0"/>
              <w:spacing w:before="0" w:after="283"/>
              <w:jc w:val="left"/>
              <w:rPr>
                <w:b/>
              </w:rPr>
            </w:pPr>
            <w:r>
              <w:rPr>
                <w:b/>
              </w:rPr>
              <w:t>PURCHASER:</w:t>
            </w:r>
          </w:p>
        </w:tc>
      </w:tr>
      <w:tr>
        <w:trPr>
          <w:trHeight w:val="240" w:hRule="atLeast"/>
        </w:trPr>
        <w:tc>
          <w:tcPr>
            <w:tcW w:w="5575" w:type="dxa"/>
            <w:gridSpan w:val="3"/>
            <w:tcBorders/>
            <w:vAlign w:val="center"/>
          </w:tcPr>
          <w:p>
            <w:pPr>
              <w:pStyle w:val="TableContents"/>
              <w:bidi w:val="0"/>
              <w:spacing w:before="0" w:after="283"/>
              <w:jc w:val="left"/>
              <w:rPr>
                <w:sz w:val="4"/>
                <w:szCs w:val="4"/>
              </w:rPr>
            </w:pPr>
            <w:r>
              <w:rPr>
                <w:sz w:val="4"/>
                <w:szCs w:val="4"/>
              </w:rPr>
            </w:r>
          </w:p>
        </w:tc>
      </w:tr>
      <w:tr>
        <w:trPr/>
        <w:tc>
          <w:tcPr>
            <w:tcW w:w="5575" w:type="dxa"/>
            <w:gridSpan w:val="3"/>
            <w:tcBorders/>
          </w:tcPr>
          <w:p>
            <w:pPr>
              <w:pStyle w:val="TableContents"/>
              <w:bidi w:val="0"/>
              <w:spacing w:before="0" w:after="283"/>
              <w:jc w:val="left"/>
              <w:rPr/>
            </w:pPr>
            <w:r>
              <w:rPr/>
              <w:t>Biotechnology Value Fund, L.P.</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4985"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925" w:type="dxa"/>
            <w:tcBorders>
              <w:bottom w:val="single" w:sz="2" w:space="0" w:color="000000"/>
            </w:tcBorders>
            <w:tcMar>
              <w:bottom w:w="28" w:type="dxa"/>
            </w:tcMar>
            <w:vAlign w:val="bottom"/>
          </w:tcPr>
          <w:p>
            <w:pPr>
              <w:pStyle w:val="TableContents"/>
              <w:bidi w:val="0"/>
              <w:spacing w:before="0" w:after="283"/>
              <w:jc w:val="left"/>
              <w:rPr>
                <w:i/>
              </w:rPr>
            </w:pPr>
            <w:r>
              <w:rPr>
                <w:i/>
              </w:rPr>
              <w:t>/s/ Mark Lampert</w:t>
            </w:r>
          </w:p>
        </w:tc>
      </w:tr>
      <w:tr>
        <w:trPr/>
        <w:tc>
          <w:tcPr>
            <w:tcW w:w="5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4925" w:type="dxa"/>
            <w:tcBorders/>
            <w:vAlign w:val="bottom"/>
          </w:tcPr>
          <w:p>
            <w:pPr>
              <w:pStyle w:val="TableContents"/>
              <w:bidi w:val="0"/>
              <w:spacing w:before="0" w:after="283"/>
              <w:jc w:val="left"/>
              <w:rPr/>
            </w:pPr>
            <w:r>
              <w:rPr/>
              <w:t>Mark Lampert</w:t>
            </w:r>
          </w:p>
        </w:tc>
      </w:tr>
      <w:tr>
        <w:trPr/>
        <w:tc>
          <w:tcPr>
            <w:tcW w:w="5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4925" w:type="dxa"/>
            <w:tcBorders/>
            <w:vAlign w:val="bottom"/>
          </w:tcPr>
          <w:p>
            <w:pPr>
              <w:pStyle w:val="TableContents"/>
              <w:bidi w:val="0"/>
              <w:spacing w:before="0" w:after="283"/>
              <w:jc w:val="left"/>
              <w:rPr/>
            </w:pPr>
            <w:r>
              <w:rPr/>
              <w:t>Chief Executive Officer of BVF I GP LLC,</w:t>
            </w:r>
          </w:p>
        </w:tc>
      </w:tr>
      <w:tr>
        <w:trPr/>
        <w:tc>
          <w:tcPr>
            <w:tcW w:w="5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25" w:type="dxa"/>
            <w:tcBorders/>
            <w:vAlign w:val="bottom"/>
          </w:tcPr>
          <w:p>
            <w:pPr>
              <w:pStyle w:val="TableContents"/>
              <w:bidi w:val="0"/>
              <w:spacing w:before="0" w:after="283"/>
              <w:jc w:val="left"/>
              <w:rPr/>
            </w:pPr>
            <w:r>
              <w:rPr/>
              <w:t>General Partner of Biotechnology Value Fund, L.P.</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5785" w:type="dxa"/>
        <w:jc w:val="right"/>
        <w:tblInd w:w="0" w:type="dxa"/>
        <w:tblLayout w:type="fixed"/>
        <w:tblCellMar>
          <w:top w:w="0" w:type="dxa"/>
          <w:left w:w="0" w:type="dxa"/>
          <w:bottom w:w="0" w:type="dxa"/>
          <w:right w:w="0" w:type="dxa"/>
        </w:tblCellMar>
      </w:tblPr>
      <w:tblGrid>
        <w:gridCol w:w="590"/>
        <w:gridCol w:w="60"/>
        <w:gridCol w:w="513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135" w:type="dxa"/>
            <w:tcBorders/>
            <w:vAlign w:val="center"/>
          </w:tcPr>
          <w:p>
            <w:pPr>
              <w:pStyle w:val="TableContents"/>
              <w:bidi w:val="0"/>
              <w:spacing w:before="0" w:after="283"/>
              <w:jc w:val="left"/>
              <w:rPr>
                <w:sz w:val="4"/>
                <w:szCs w:val="4"/>
              </w:rPr>
            </w:pPr>
            <w:r>
              <w:rPr>
                <w:sz w:val="4"/>
                <w:szCs w:val="4"/>
              </w:rPr>
            </w:r>
          </w:p>
        </w:tc>
      </w:tr>
      <w:tr>
        <w:trPr/>
        <w:tc>
          <w:tcPr>
            <w:tcW w:w="5785" w:type="dxa"/>
            <w:gridSpan w:val="3"/>
            <w:tcBorders/>
          </w:tcPr>
          <w:p>
            <w:pPr>
              <w:pStyle w:val="TableContents"/>
              <w:bidi w:val="0"/>
              <w:spacing w:before="0" w:after="283"/>
              <w:jc w:val="left"/>
              <w:rPr/>
            </w:pPr>
            <w:r>
              <w:rPr>
                <w:b/>
              </w:rPr>
              <w:t>PURCHASER</w:t>
            </w:r>
            <w:r>
              <w:rPr/>
              <w:t>:</w:t>
            </w:r>
          </w:p>
        </w:tc>
      </w:tr>
      <w:tr>
        <w:trPr>
          <w:trHeight w:val="240" w:hRule="atLeast"/>
        </w:trPr>
        <w:tc>
          <w:tcPr>
            <w:tcW w:w="5785"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tcPr>
          <w:p>
            <w:pPr>
              <w:pStyle w:val="TableContents"/>
              <w:bidi w:val="0"/>
              <w:spacing w:before="0" w:after="283"/>
              <w:jc w:val="left"/>
              <w:rPr/>
            </w:pPr>
            <w:r>
              <w:rPr/>
              <w:t>Biotechnology Value Fund II, L.P.</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5195"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135" w:type="dxa"/>
            <w:tcBorders>
              <w:bottom w:val="single" w:sz="2" w:space="0" w:color="000000"/>
            </w:tcBorders>
            <w:tcMar>
              <w:bottom w:w="28" w:type="dxa"/>
            </w:tcMar>
            <w:vAlign w:val="bottom"/>
          </w:tcPr>
          <w:p>
            <w:pPr>
              <w:pStyle w:val="TableContents"/>
              <w:bidi w:val="0"/>
              <w:spacing w:before="0" w:after="283"/>
              <w:jc w:val="left"/>
              <w:rPr>
                <w:i/>
              </w:rPr>
            </w:pPr>
            <w:r>
              <w:rPr>
                <w:i/>
              </w:rPr>
              <w:t>/s/ Mark Lampert</w:t>
            </w:r>
          </w:p>
        </w:tc>
      </w:tr>
      <w:tr>
        <w:trPr/>
        <w:tc>
          <w:tcPr>
            <w:tcW w:w="5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5135" w:type="dxa"/>
            <w:tcBorders/>
            <w:vAlign w:val="bottom"/>
          </w:tcPr>
          <w:p>
            <w:pPr>
              <w:pStyle w:val="TableContents"/>
              <w:bidi w:val="0"/>
              <w:spacing w:before="0" w:after="283"/>
              <w:jc w:val="left"/>
              <w:rPr/>
            </w:pPr>
            <w:r>
              <w:rPr/>
              <w:t>Mark Lampert</w:t>
            </w:r>
          </w:p>
        </w:tc>
      </w:tr>
      <w:tr>
        <w:trPr/>
        <w:tc>
          <w:tcPr>
            <w:tcW w:w="5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5135" w:type="dxa"/>
            <w:tcBorders/>
            <w:vAlign w:val="bottom"/>
          </w:tcPr>
          <w:p>
            <w:pPr>
              <w:pStyle w:val="TableContents"/>
              <w:bidi w:val="0"/>
              <w:spacing w:before="0" w:after="283"/>
              <w:jc w:val="left"/>
              <w:rPr/>
            </w:pPr>
            <w:r>
              <w:rPr/>
              <w:t>Chief Executive Officer of BVF II GP LLC,</w:t>
            </w:r>
          </w:p>
        </w:tc>
      </w:tr>
      <w:tr>
        <w:trPr/>
        <w:tc>
          <w:tcPr>
            <w:tcW w:w="5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135" w:type="dxa"/>
            <w:tcBorders/>
            <w:vAlign w:val="bottom"/>
          </w:tcPr>
          <w:p>
            <w:pPr>
              <w:pStyle w:val="TableContents"/>
              <w:bidi w:val="0"/>
              <w:spacing w:before="0" w:after="283"/>
              <w:jc w:val="left"/>
              <w:rPr/>
            </w:pPr>
            <w:r>
              <w:rPr/>
              <w:t>General Partner of Biotechnology Value Fund II, L.P.</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PURCHASER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Biotechnology Value Trading Fund OS LP</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4" w:type="dxa"/>
            <w:tcBorders>
              <w:bottom w:val="single" w:sz="2" w:space="0" w:color="000000"/>
            </w:tcBorders>
            <w:tcMar>
              <w:bottom w:w="28" w:type="dxa"/>
            </w:tcMar>
            <w:vAlign w:val="bottom"/>
          </w:tcPr>
          <w:p>
            <w:pPr>
              <w:pStyle w:val="TableContents"/>
              <w:bidi w:val="0"/>
              <w:spacing w:before="0" w:after="283"/>
              <w:jc w:val="left"/>
              <w:rPr>
                <w:i/>
              </w:rPr>
            </w:pPr>
            <w:r>
              <w:rPr>
                <w:i/>
              </w:rPr>
              <w:t>/s/ Mark Lampert</w:t>
            </w:r>
          </w:p>
        </w:tc>
      </w:tr>
      <w:tr>
        <w:trPr/>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vAlign w:val="bottom"/>
          </w:tcPr>
          <w:p>
            <w:pPr>
              <w:pStyle w:val="TableContents"/>
              <w:bidi w:val="0"/>
              <w:spacing w:before="0" w:after="283"/>
              <w:jc w:val="left"/>
              <w:rPr/>
            </w:pPr>
            <w:r>
              <w:rPr/>
              <w:t>Mark Lampert</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vAlign w:val="bottom"/>
          </w:tcPr>
          <w:p>
            <w:pPr>
              <w:pStyle w:val="TableContents"/>
              <w:bidi w:val="0"/>
              <w:spacing w:before="0" w:after="283"/>
              <w:jc w:val="left"/>
              <w:rPr/>
            </w:pPr>
            <w:r>
              <w:rPr/>
              <w:t>President of BVF Inc., General Partner of BVF Partners, LP, Sole Member of BVF Partners OS Ltd., General Partner of Biotechnology Value Trading Fund OS LP</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7"/>
        <w:gridCol w:w="61"/>
        <w:gridCol w:w="3344"/>
      </w:tblGrid>
      <w:tr>
        <w:trPr/>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PURCHASER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MSI BVF SPV, LLC</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vAlign w:val="bottom"/>
          </w:tcPr>
          <w:p>
            <w:pPr>
              <w:pStyle w:val="TableContents"/>
              <w:bidi w:val="0"/>
              <w:spacing w:before="0" w:after="283"/>
              <w:jc w:val="left"/>
              <w:rPr>
                <w:i/>
              </w:rPr>
            </w:pPr>
            <w:r>
              <w:rPr>
                <w:i/>
              </w:rPr>
              <w:t>/s/ Mark Lampert</w:t>
            </w:r>
          </w:p>
        </w:tc>
      </w:tr>
      <w:tr>
        <w:trPr/>
        <w:tc>
          <w:tcPr>
            <w:tcW w:w="677"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Mark Lampert</w:t>
            </w:r>
          </w:p>
        </w:tc>
      </w:tr>
      <w:tr>
        <w:trPr/>
        <w:tc>
          <w:tcPr>
            <w:tcW w:w="677"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President of BVF Inc., General Partner of BVF Partners, LP, Attorney in Fact of MSI BVF SPV, LLC</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PURCHASER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DEERFIELD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Deerfield Mgmt,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J.E. Flynn Capital,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i/>
              </w:rPr>
            </w:pPr>
            <w:r>
              <w:rPr>
                <w:i/>
              </w:rPr>
              <w:t>/s/ David Clark</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David Clark</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PURCHASER</w:t>
            </w:r>
            <w:r>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Suvretta Capital Management, LLC, as investment manager to the Purchasers listed herein</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vAlign w:val="bottom"/>
          </w:tcPr>
          <w:p>
            <w:pPr>
              <w:pStyle w:val="TableContents"/>
              <w:bidi w:val="0"/>
              <w:spacing w:before="0" w:after="283"/>
              <w:jc w:val="left"/>
              <w:rPr>
                <w:i/>
              </w:rPr>
            </w:pPr>
            <w:r>
              <w:rPr>
                <w:i/>
              </w:rPr>
              <w:t>/s/ Andrew Nathanson</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Andrew Nathanson</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GC/CCO</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7"/>
        <w:gridCol w:w="61"/>
        <w:gridCol w:w="3344"/>
      </w:tblGrid>
      <w:tr>
        <w:trPr/>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PURCHASER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Invus Public Equities, L.P.</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vAlign w:val="bottom"/>
          </w:tcPr>
          <w:p>
            <w:pPr>
              <w:pStyle w:val="TableContents"/>
              <w:bidi w:val="0"/>
              <w:spacing w:before="0" w:after="283"/>
              <w:jc w:val="left"/>
              <w:rPr>
                <w:i/>
              </w:rPr>
            </w:pPr>
            <w:r>
              <w:rPr>
                <w:i/>
              </w:rPr>
              <w:t>/s/ Khalil Barrage</w:t>
            </w:r>
          </w:p>
        </w:tc>
      </w:tr>
      <w:tr>
        <w:trPr/>
        <w:tc>
          <w:tcPr>
            <w:tcW w:w="677"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Khalil Barrage</w:t>
            </w:r>
          </w:p>
        </w:tc>
      </w:tr>
      <w:tr>
        <w:trPr/>
        <w:tc>
          <w:tcPr>
            <w:tcW w:w="677"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Vice President of the General Partner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of Purchasers </w:t>
      </w:r>
    </w:p>
    <w:p>
      <w:pPr>
        <w:pStyle w:val="TextBody"/>
        <w:bidi w:val="0"/>
        <w:spacing w:before="0" w:after="0"/>
        <w:jc w:val="left"/>
        <w:rPr/>
      </w:pPr>
      <w:r>
        <w:rPr/>
        <w:t> </w:t>
      </w:r>
    </w:p>
    <w:tbl>
      <w:tblPr>
        <w:tblW w:w="10745" w:type="dxa"/>
        <w:jc w:val="center"/>
        <w:tblInd w:w="0" w:type="dxa"/>
        <w:tblLayout w:type="fixed"/>
        <w:tblCellMar>
          <w:top w:w="0" w:type="dxa"/>
          <w:left w:w="0" w:type="dxa"/>
          <w:bottom w:w="0" w:type="dxa"/>
          <w:right w:w="0" w:type="dxa"/>
        </w:tblCellMar>
      </w:tblPr>
      <w:tblGrid>
        <w:gridCol w:w="2150"/>
        <w:gridCol w:w="120"/>
        <w:gridCol w:w="330"/>
        <w:gridCol w:w="770"/>
        <w:gridCol w:w="60"/>
        <w:gridCol w:w="120"/>
        <w:gridCol w:w="519"/>
        <w:gridCol w:w="1211"/>
        <w:gridCol w:w="60"/>
        <w:gridCol w:w="120"/>
        <w:gridCol w:w="72"/>
        <w:gridCol w:w="1178"/>
        <w:gridCol w:w="60"/>
        <w:gridCol w:w="120"/>
        <w:gridCol w:w="140"/>
        <w:gridCol w:w="1400"/>
        <w:gridCol w:w="60"/>
        <w:gridCol w:w="120"/>
        <w:gridCol w:w="188"/>
        <w:gridCol w:w="1887"/>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Purchaser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Address/Contact Information</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w:t>
              <w:br/>
              <w:t>Purchase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 of</w:t>
              <w:br/>
              <w:t>Pre-Funded</w:t>
              <w:br/>
              <w:t>Warrants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Purchase</w:t>
              <w:br/>
              <w:t>Price of Securities</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EcoR1 Capital Fund Qualified Fund, L.P.</w:t>
            </w:r>
          </w:p>
          <w:p>
            <w:pPr>
              <w:pStyle w:val="TableContents"/>
              <w:bidi w:val="0"/>
              <w:spacing w:before="0" w:after="0"/>
              <w:jc w:val="left"/>
              <w:rPr>
                <w:rFonts w:ascii="Times New Roman" w:hAnsi="Times New Roman"/>
                <w:sz w:val="20"/>
              </w:rPr>
            </w:pPr>
            <w:r>
              <w:rPr>
                <w:rFonts w:ascii="Times New Roman" w:hAnsi="Times New Roman"/>
                <w:sz w:val="20"/>
              </w:rPr>
              <w:t>Address: 357 Tehama Street #3,</w:t>
            </w:r>
          </w:p>
          <w:p>
            <w:pPr>
              <w:pStyle w:val="TableContents"/>
              <w:bidi w:val="0"/>
              <w:spacing w:before="0" w:after="0"/>
              <w:jc w:val="left"/>
              <w:rPr>
                <w:rFonts w:ascii="Times New Roman" w:hAnsi="Times New Roman"/>
                <w:sz w:val="20"/>
              </w:rPr>
            </w:pPr>
            <w:r>
              <w:rPr>
                <w:rFonts w:ascii="Times New Roman" w:hAnsi="Times New Roman"/>
                <w:sz w:val="20"/>
              </w:rPr>
              <w:t>San Francisco, CA 94103</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Scott Perlen</w:t>
            </w:r>
          </w:p>
        </w:tc>
        <w:tc>
          <w:tcPr>
            <w:tcW w:w="12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5,469,598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94,350,018.55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94,350,018.55</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EcoR1 Capital Fund, L.P.</w:t>
            </w:r>
          </w:p>
          <w:p>
            <w:pPr>
              <w:pStyle w:val="TableContents"/>
              <w:bidi w:val="0"/>
              <w:spacing w:before="0" w:after="0"/>
              <w:jc w:val="left"/>
              <w:rPr>
                <w:rFonts w:ascii="Times New Roman" w:hAnsi="Times New Roman"/>
                <w:sz w:val="20"/>
              </w:rPr>
            </w:pPr>
            <w:r>
              <w:rPr>
                <w:rFonts w:ascii="Times New Roman" w:hAnsi="Times New Roman"/>
                <w:sz w:val="20"/>
              </w:rPr>
              <w:t>Address: 357 Tehama Street #3,</w:t>
            </w:r>
          </w:p>
          <w:p>
            <w:pPr>
              <w:pStyle w:val="TableContents"/>
              <w:bidi w:val="0"/>
              <w:spacing w:before="0" w:after="0"/>
              <w:jc w:val="left"/>
              <w:rPr>
                <w:rFonts w:ascii="Times New Roman" w:hAnsi="Times New Roman"/>
                <w:sz w:val="20"/>
              </w:rPr>
            </w:pPr>
            <w:r>
              <w:rPr>
                <w:rFonts w:ascii="Times New Roman" w:hAnsi="Times New Roman"/>
                <w:sz w:val="20"/>
              </w:rPr>
              <w:t>San Francisco, CA 94103</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Scott Perlen</w:t>
            </w:r>
          </w:p>
        </w:tc>
        <w:tc>
          <w:tcPr>
            <w:tcW w:w="12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327,538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5,649,997.75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5,649,997.75</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Biotechnology Value Fund, L.P.</w:t>
            </w:r>
          </w:p>
          <w:p>
            <w:pPr>
              <w:pStyle w:val="TableContents"/>
              <w:bidi w:val="0"/>
              <w:spacing w:before="0" w:after="0"/>
              <w:jc w:val="left"/>
              <w:rPr>
                <w:rFonts w:ascii="Times New Roman" w:hAnsi="Times New Roman"/>
                <w:sz w:val="20"/>
              </w:rPr>
            </w:pPr>
            <w:r>
              <w:rPr>
                <w:rFonts w:ascii="Times New Roman" w:hAnsi="Times New Roman"/>
                <w:sz w:val="20"/>
              </w:rPr>
              <w:t>Address: 44 Montgomery Street,</w:t>
            </w:r>
          </w:p>
          <w:p>
            <w:pPr>
              <w:pStyle w:val="TableContents"/>
              <w:bidi w:val="0"/>
              <w:spacing w:before="0" w:after="0"/>
              <w:jc w:val="left"/>
              <w:rPr>
                <w:rFonts w:ascii="Times New Roman" w:hAnsi="Times New Roman"/>
                <w:sz w:val="20"/>
              </w:rPr>
            </w:pPr>
            <w:r>
              <w:rPr>
                <w:rFonts w:ascii="Times New Roman" w:hAnsi="Times New Roman"/>
                <w:sz w:val="20"/>
              </w:rPr>
              <w:t>40th Floor, San Francisco, CA 94104</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James Kratky</w:t>
            </w:r>
          </w:p>
        </w:tc>
        <w:tc>
          <w:tcPr>
            <w:tcW w:w="12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503,833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8,691,068.87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8,691,068.87</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Biotechnology Value Fund II, L.P.</w:t>
            </w:r>
          </w:p>
          <w:p>
            <w:pPr>
              <w:pStyle w:val="TableContents"/>
              <w:bidi w:val="0"/>
              <w:spacing w:before="0" w:after="0"/>
              <w:jc w:val="left"/>
              <w:rPr>
                <w:rFonts w:ascii="Times New Roman" w:hAnsi="Times New Roman"/>
                <w:sz w:val="20"/>
              </w:rPr>
            </w:pPr>
            <w:r>
              <w:rPr>
                <w:rFonts w:ascii="Times New Roman" w:hAnsi="Times New Roman"/>
                <w:sz w:val="20"/>
              </w:rPr>
              <w:t>Address: 44 Montgomery Street,</w:t>
            </w:r>
          </w:p>
          <w:p>
            <w:pPr>
              <w:pStyle w:val="TableContents"/>
              <w:bidi w:val="0"/>
              <w:spacing w:before="0" w:after="0"/>
              <w:jc w:val="left"/>
              <w:rPr>
                <w:rFonts w:ascii="Times New Roman" w:hAnsi="Times New Roman"/>
                <w:sz w:val="20"/>
              </w:rPr>
            </w:pPr>
            <w:r>
              <w:rPr>
                <w:rFonts w:ascii="Times New Roman" w:hAnsi="Times New Roman"/>
                <w:sz w:val="20"/>
              </w:rPr>
              <w:t>40th Floor, San Francisco, CA 94104</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James Kratky</w:t>
            </w:r>
          </w:p>
        </w:tc>
        <w:tc>
          <w:tcPr>
            <w:tcW w:w="12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282,760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4,877,581.73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4,877,581.73</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820" w:type="dxa"/>
        <w:jc w:val="center"/>
        <w:tblInd w:w="0" w:type="dxa"/>
        <w:tblLayout w:type="fixed"/>
        <w:tblCellMar>
          <w:top w:w="0" w:type="dxa"/>
          <w:left w:w="0" w:type="dxa"/>
          <w:bottom w:w="0" w:type="dxa"/>
          <w:right w:w="0" w:type="dxa"/>
        </w:tblCellMar>
      </w:tblPr>
      <w:tblGrid>
        <w:gridCol w:w="2150"/>
        <w:gridCol w:w="120"/>
        <w:gridCol w:w="76"/>
        <w:gridCol w:w="1024"/>
        <w:gridCol w:w="60"/>
        <w:gridCol w:w="120"/>
        <w:gridCol w:w="140"/>
        <w:gridCol w:w="1400"/>
        <w:gridCol w:w="60"/>
        <w:gridCol w:w="120"/>
        <w:gridCol w:w="87"/>
        <w:gridCol w:w="1163"/>
        <w:gridCol w:w="60"/>
        <w:gridCol w:w="120"/>
        <w:gridCol w:w="177"/>
        <w:gridCol w:w="1628"/>
        <w:gridCol w:w="60"/>
        <w:gridCol w:w="120"/>
        <w:gridCol w:w="188"/>
        <w:gridCol w:w="1887"/>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Purchaser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Address/Contact Information</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w:t>
              <w:br/>
              <w:t>Purchase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 of</w:t>
              <w:br/>
              <w:t>Pre-Funded</w:t>
              <w:br/>
              <w:t>Warrants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Purchase</w:t>
              <w:br/>
              <w:t>Price of Securities</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Biotechnology Value Trading Fund OS LP</w:t>
            </w:r>
          </w:p>
          <w:p>
            <w:pPr>
              <w:pStyle w:val="TableContents"/>
              <w:bidi w:val="0"/>
              <w:spacing w:before="0" w:after="0"/>
              <w:jc w:val="left"/>
              <w:rPr>
                <w:rFonts w:ascii="Times New Roman" w:hAnsi="Times New Roman"/>
                <w:sz w:val="20"/>
              </w:rPr>
            </w:pPr>
            <w:r>
              <w:rPr>
                <w:rFonts w:ascii="Times New Roman" w:hAnsi="Times New Roman"/>
                <w:sz w:val="20"/>
              </w:rPr>
              <w:t>Address: 44 Montgomery Street,</w:t>
            </w:r>
          </w:p>
          <w:p>
            <w:pPr>
              <w:pStyle w:val="TableContents"/>
              <w:bidi w:val="0"/>
              <w:spacing w:before="0" w:after="0"/>
              <w:jc w:val="left"/>
              <w:rPr>
                <w:rFonts w:ascii="Times New Roman" w:hAnsi="Times New Roman"/>
                <w:sz w:val="20"/>
              </w:rPr>
            </w:pPr>
            <w:r>
              <w:rPr>
                <w:rFonts w:ascii="Times New Roman" w:hAnsi="Times New Roman"/>
                <w:sz w:val="20"/>
              </w:rPr>
              <w:t>40th Floor, San Francisco, CA 94104</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James Kratky</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45,504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628" w:type="dxa"/>
            <w:tcBorders/>
            <w:shd w:fill="CCEEFF" w:val="clear"/>
            <w:vAlign w:val="bottom"/>
          </w:tcPr>
          <w:p>
            <w:pPr>
              <w:pStyle w:val="TableContents"/>
              <w:bidi w:val="0"/>
              <w:spacing w:before="0" w:after="283"/>
              <w:jc w:val="right"/>
              <w:rPr/>
            </w:pPr>
            <w:r>
              <w:rPr/>
              <w:t>784,939.45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784,939.45</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MSI BVF SPV, LLC</w:t>
            </w:r>
          </w:p>
          <w:p>
            <w:pPr>
              <w:pStyle w:val="TableContents"/>
              <w:bidi w:val="0"/>
              <w:spacing w:before="0" w:after="0"/>
              <w:jc w:val="left"/>
              <w:rPr>
                <w:rFonts w:ascii="Times New Roman" w:hAnsi="Times New Roman"/>
                <w:sz w:val="20"/>
              </w:rPr>
            </w:pPr>
            <w:r>
              <w:rPr>
                <w:rFonts w:ascii="Times New Roman" w:hAnsi="Times New Roman"/>
                <w:sz w:val="20"/>
              </w:rPr>
              <w:t>Address: 44 Montgomery Street,</w:t>
            </w:r>
          </w:p>
          <w:p>
            <w:pPr>
              <w:pStyle w:val="TableContents"/>
              <w:bidi w:val="0"/>
              <w:spacing w:before="0" w:after="0"/>
              <w:jc w:val="left"/>
              <w:rPr>
                <w:rFonts w:ascii="Times New Roman" w:hAnsi="Times New Roman"/>
                <w:sz w:val="20"/>
              </w:rPr>
            </w:pPr>
            <w:r>
              <w:rPr>
                <w:rFonts w:ascii="Times New Roman" w:hAnsi="Times New Roman"/>
                <w:sz w:val="20"/>
              </w:rPr>
              <w:t>40th Floor, San Francisco, CA 94104</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James Kratky</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8,488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628" w:type="dxa"/>
            <w:tcBorders/>
            <w:vAlign w:val="bottom"/>
          </w:tcPr>
          <w:p>
            <w:pPr>
              <w:pStyle w:val="TableContents"/>
              <w:bidi w:val="0"/>
              <w:spacing w:before="0" w:after="283"/>
              <w:jc w:val="right"/>
              <w:rPr/>
            </w:pPr>
            <w:r>
              <w:rPr/>
              <w:t>146,417.16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146,417.16</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Deerfield Partners, L.P.</w:t>
            </w:r>
          </w:p>
          <w:p>
            <w:pPr>
              <w:pStyle w:val="TableContents"/>
              <w:bidi w:val="0"/>
              <w:spacing w:before="0" w:after="0"/>
              <w:jc w:val="left"/>
              <w:rPr>
                <w:rFonts w:ascii="Times New Roman" w:hAnsi="Times New Roman"/>
                <w:sz w:val="20"/>
              </w:rPr>
            </w:pPr>
            <w:r>
              <w:rPr>
                <w:rFonts w:ascii="Times New Roman" w:hAnsi="Times New Roman"/>
                <w:sz w:val="20"/>
              </w:rPr>
              <w:t>Address: 345 Park Avenue South,</w:t>
            </w:r>
          </w:p>
          <w:p>
            <w:pPr>
              <w:pStyle w:val="TableContents"/>
              <w:bidi w:val="0"/>
              <w:spacing w:before="0" w:after="0"/>
              <w:jc w:val="left"/>
              <w:rPr>
                <w:rFonts w:ascii="Times New Roman" w:hAnsi="Times New Roman"/>
                <w:sz w:val="20"/>
              </w:rPr>
            </w:pPr>
            <w:r>
              <w:rPr>
                <w:rFonts w:ascii="Times New Roman" w:hAnsi="Times New Roman"/>
                <w:sz w:val="20"/>
              </w:rPr>
              <w:t>11th Floor, New York, NY 10010</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Legal Department</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420,290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7,250,002.50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420,293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628" w:type="dxa"/>
            <w:tcBorders/>
            <w:shd w:fill="CCEEFF" w:val="clear"/>
            <w:vAlign w:val="bottom"/>
          </w:tcPr>
          <w:p>
            <w:pPr>
              <w:pStyle w:val="TableContents"/>
              <w:bidi w:val="0"/>
              <w:spacing w:before="0" w:after="283"/>
              <w:jc w:val="right"/>
              <w:rPr/>
            </w:pPr>
            <w:r>
              <w:rPr/>
              <w:t>7,250,012.23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14,500,014.73</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Averill Master Fund, Ltd.,</w:t>
            </w:r>
          </w:p>
          <w:p>
            <w:pPr>
              <w:pStyle w:val="TableContents"/>
              <w:bidi w:val="0"/>
              <w:spacing w:before="0" w:after="0"/>
              <w:jc w:val="left"/>
              <w:rPr>
                <w:rFonts w:ascii="Times New Roman" w:hAnsi="Times New Roman"/>
                <w:sz w:val="20"/>
              </w:rPr>
            </w:pPr>
            <w:r>
              <w:rPr>
                <w:rFonts w:ascii="Times New Roman" w:hAnsi="Times New Roman"/>
                <w:sz w:val="20"/>
              </w:rPr>
              <w:t>c/o Suvretta Capital Management, LLC</w:t>
            </w:r>
          </w:p>
          <w:p>
            <w:pPr>
              <w:pStyle w:val="TableContents"/>
              <w:bidi w:val="0"/>
              <w:spacing w:before="0" w:after="0"/>
              <w:jc w:val="left"/>
              <w:rPr>
                <w:rFonts w:ascii="Times New Roman" w:hAnsi="Times New Roman"/>
                <w:sz w:val="20"/>
              </w:rPr>
            </w:pPr>
            <w:r>
              <w:rPr>
                <w:rFonts w:ascii="Times New Roman" w:hAnsi="Times New Roman"/>
                <w:sz w:val="20"/>
              </w:rPr>
              <w:t>Address: 540 Madison Avenue,</w:t>
            </w:r>
          </w:p>
          <w:p>
            <w:pPr>
              <w:pStyle w:val="TableContents"/>
              <w:bidi w:val="0"/>
              <w:spacing w:before="0" w:after="0"/>
              <w:jc w:val="left"/>
              <w:rPr>
                <w:rFonts w:ascii="Times New Roman" w:hAnsi="Times New Roman"/>
                <w:sz w:val="20"/>
              </w:rPr>
            </w:pPr>
            <w:r>
              <w:rPr>
                <w:rFonts w:ascii="Times New Roman" w:hAnsi="Times New Roman"/>
                <w:sz w:val="20"/>
              </w:rPr>
              <w:t>7th Floor, New York, NY 10022</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Andrew Nathanson</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579,711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10,000,014.75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135,630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628" w:type="dxa"/>
            <w:tcBorders/>
            <w:vAlign w:val="bottom"/>
          </w:tcPr>
          <w:p>
            <w:pPr>
              <w:pStyle w:val="TableContents"/>
              <w:bidi w:val="0"/>
              <w:spacing w:before="0" w:after="283"/>
              <w:jc w:val="right"/>
              <w:rPr/>
            </w:pPr>
            <w:r>
              <w:rPr/>
              <w:t>2,339,603.94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12,339,618.69</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Averill Madison Master Fund,</w:t>
            </w:r>
          </w:p>
          <w:p>
            <w:pPr>
              <w:pStyle w:val="TableContents"/>
              <w:bidi w:val="0"/>
              <w:spacing w:before="0" w:after="0"/>
              <w:jc w:val="left"/>
              <w:rPr>
                <w:rFonts w:ascii="Times New Roman" w:hAnsi="Times New Roman"/>
                <w:sz w:val="20"/>
              </w:rPr>
            </w:pPr>
            <w:r>
              <w:rPr>
                <w:rFonts w:ascii="Times New Roman" w:hAnsi="Times New Roman"/>
                <w:sz w:val="20"/>
              </w:rPr>
              <w:t>Ltd., c/o Suvretta Capital Management, LLC</w:t>
            </w:r>
          </w:p>
          <w:p>
            <w:pPr>
              <w:pStyle w:val="TableContents"/>
              <w:bidi w:val="0"/>
              <w:spacing w:before="0" w:after="0"/>
              <w:jc w:val="left"/>
              <w:rPr>
                <w:rFonts w:ascii="Times New Roman" w:hAnsi="Times New Roman"/>
                <w:sz w:val="20"/>
              </w:rPr>
            </w:pPr>
            <w:r>
              <w:rPr>
                <w:rFonts w:ascii="Times New Roman" w:hAnsi="Times New Roman"/>
                <w:sz w:val="20"/>
              </w:rPr>
              <w:t>Address: 540 Madison Avenue,</w:t>
            </w:r>
          </w:p>
          <w:p>
            <w:pPr>
              <w:pStyle w:val="TableContents"/>
              <w:bidi w:val="0"/>
              <w:spacing w:before="0" w:after="0"/>
              <w:jc w:val="left"/>
              <w:rPr>
                <w:rFonts w:ascii="Times New Roman" w:hAnsi="Times New Roman"/>
                <w:sz w:val="20"/>
              </w:rPr>
            </w:pPr>
            <w:r>
              <w:rPr>
                <w:rFonts w:ascii="Times New Roman" w:hAnsi="Times New Roman"/>
                <w:sz w:val="20"/>
              </w:rPr>
              <w:t>7th Floor, New York, NY 10022</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Andrew Nathanson</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125,242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628" w:type="dxa"/>
            <w:tcBorders/>
            <w:shd w:fill="CCEEFF" w:val="clear"/>
            <w:vAlign w:val="bottom"/>
          </w:tcPr>
          <w:p>
            <w:pPr>
              <w:pStyle w:val="TableContents"/>
              <w:bidi w:val="0"/>
              <w:spacing w:before="0" w:after="283"/>
              <w:jc w:val="right"/>
              <w:rPr/>
            </w:pPr>
            <w:r>
              <w:rPr/>
              <w:t>2,160,411.98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2,160,411.98</w:t>
            </w:r>
          </w:p>
        </w:tc>
        <w:tc>
          <w:tcPr>
            <w:tcW w:w="6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2430" w:type="dxa"/>
        <w:jc w:val="center"/>
        <w:tblInd w:w="0" w:type="dxa"/>
        <w:tblLayout w:type="fixed"/>
        <w:tblCellMar>
          <w:top w:w="0" w:type="dxa"/>
          <w:left w:w="0" w:type="dxa"/>
          <w:bottom w:w="0" w:type="dxa"/>
          <w:right w:w="0" w:type="dxa"/>
        </w:tblCellMar>
      </w:tblPr>
      <w:tblGrid>
        <w:gridCol w:w="3905"/>
        <w:gridCol w:w="120"/>
        <w:gridCol w:w="63"/>
        <w:gridCol w:w="1037"/>
        <w:gridCol w:w="60"/>
        <w:gridCol w:w="120"/>
        <w:gridCol w:w="140"/>
        <w:gridCol w:w="1400"/>
        <w:gridCol w:w="60"/>
        <w:gridCol w:w="120"/>
        <w:gridCol w:w="72"/>
        <w:gridCol w:w="1178"/>
        <w:gridCol w:w="60"/>
        <w:gridCol w:w="120"/>
        <w:gridCol w:w="140"/>
        <w:gridCol w:w="1520"/>
        <w:gridCol w:w="60"/>
        <w:gridCol w:w="120"/>
        <w:gridCol w:w="175"/>
        <w:gridCol w:w="1900"/>
        <w:gridCol w:w="60"/>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Purchaser and Address/Contact Information</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w:t>
              <w:br/>
              <w:t>Purchase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Pre-Funded</w:t>
              <w:br/>
              <w:t>Warrants</w:t>
              <w:br/>
              <w:t>Purchased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 of</w:t>
              <w:br/>
              <w:t>Pre-Funded</w:t>
              <w:br/>
              <w:t>Warrants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Purchase</w:t>
              <w:br/>
              <w:t>Price of Securities</w:t>
            </w:r>
          </w:p>
        </w:tc>
        <w:tc>
          <w:tcPr>
            <w:tcW w:w="60" w:type="dxa"/>
            <w:tcBorders/>
            <w:vAlign w:val="bottom"/>
          </w:tcPr>
          <w:p>
            <w:pPr>
              <w:pStyle w:val="TableContents"/>
              <w:bidi w:val="0"/>
              <w:spacing w:before="0" w:after="283"/>
              <w:jc w:val="left"/>
              <w:rPr/>
            </w:pPr>
            <w:r>
              <w:rPr/>
              <w:t> </w:t>
            </w:r>
          </w:p>
        </w:tc>
      </w:tr>
      <w:tr>
        <w:trPr/>
        <w:tc>
          <w:tcPr>
            <w:tcW w:w="39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Invus Public Equities, L.P.</w:t>
            </w:r>
          </w:p>
          <w:p>
            <w:pPr>
              <w:pStyle w:val="TableContents"/>
              <w:bidi w:val="0"/>
              <w:spacing w:before="0" w:after="0"/>
              <w:jc w:val="left"/>
              <w:rPr>
                <w:rFonts w:ascii="Times New Roman" w:hAnsi="Times New Roman"/>
                <w:sz w:val="20"/>
              </w:rPr>
            </w:pPr>
            <w:r>
              <w:rPr>
                <w:rFonts w:ascii="Times New Roman" w:hAnsi="Times New Roman"/>
                <w:sz w:val="20"/>
              </w:rPr>
              <w:t>Address: 750 Lexington Ave,</w:t>
            </w:r>
          </w:p>
          <w:p>
            <w:pPr>
              <w:pStyle w:val="TableContents"/>
              <w:bidi w:val="0"/>
              <w:spacing w:before="0" w:after="0"/>
              <w:jc w:val="left"/>
              <w:rPr>
                <w:rFonts w:ascii="Times New Roman" w:hAnsi="Times New Roman"/>
                <w:sz w:val="20"/>
              </w:rPr>
            </w:pPr>
            <w:r>
              <w:rPr>
                <w:rFonts w:ascii="Times New Roman" w:hAnsi="Times New Roman"/>
                <w:sz w:val="20"/>
              </w:rPr>
              <w:t>30th Floor, New York, NY 10022</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Vanessa Lopera-Madrid</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376,812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6,500,007.00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900" w:type="dxa"/>
            <w:tcBorders/>
            <w:shd w:fill="CCEEFF" w:val="clear"/>
            <w:vAlign w:val="bottom"/>
          </w:tcPr>
          <w:p>
            <w:pPr>
              <w:pStyle w:val="TableContents"/>
              <w:bidi w:val="0"/>
              <w:spacing w:before="0" w:after="283"/>
              <w:jc w:val="right"/>
              <w:rPr/>
            </w:pPr>
            <w:r>
              <w:rPr/>
              <w:t>6,500,007.00</w:t>
            </w:r>
          </w:p>
        </w:tc>
        <w:tc>
          <w:tcPr>
            <w:tcW w:w="6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b/>
              </w:rPr>
            </w:pPr>
            <w:r>
              <w:rPr>
                <w:b/>
              </w:rPr>
              <w:t>1,376,813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400" w:type="dxa"/>
            <w:tcBorders/>
            <w:vAlign w:val="bottom"/>
          </w:tcPr>
          <w:p>
            <w:pPr>
              <w:pStyle w:val="TableContents"/>
              <w:bidi w:val="0"/>
              <w:spacing w:before="0" w:after="283"/>
              <w:jc w:val="right"/>
              <w:rPr>
                <w:b/>
              </w:rPr>
            </w:pPr>
            <w:r>
              <w:rPr>
                <w:b/>
              </w:rPr>
              <w:t>23,750,024.25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b/>
              </w:rPr>
            </w:pPr>
            <w:r>
              <w:rPr>
                <w:b/>
              </w:rPr>
              <w:t>7,318,886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520" w:type="dxa"/>
            <w:tcBorders/>
            <w:vAlign w:val="bottom"/>
          </w:tcPr>
          <w:p>
            <w:pPr>
              <w:pStyle w:val="TableContents"/>
              <w:bidi w:val="0"/>
              <w:spacing w:before="0" w:after="283"/>
              <w:jc w:val="right"/>
              <w:rPr>
                <w:b/>
              </w:rPr>
            </w:pPr>
            <w:r>
              <w:rPr>
                <w:b/>
              </w:rPr>
              <w:t>126,250,051.66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1900" w:type="dxa"/>
            <w:tcBorders/>
            <w:vAlign w:val="bottom"/>
          </w:tcPr>
          <w:p>
            <w:pPr>
              <w:pStyle w:val="TableContents"/>
              <w:bidi w:val="0"/>
              <w:spacing w:before="0" w:after="283"/>
              <w:jc w:val="right"/>
              <w:rPr>
                <w:b/>
              </w:rPr>
            </w:pPr>
            <w:r>
              <w:rPr>
                <w:b/>
              </w:rPr>
              <w:t>150,000,075.91</w:t>
            </w:r>
          </w:p>
        </w:tc>
        <w:tc>
          <w:tcPr>
            <w:tcW w:w="60"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KURA ONCOLOGY, INC. </w:t>
      </w:r>
    </w:p>
    <w:p>
      <w:pPr>
        <w:pStyle w:val="TextBody"/>
        <w:bidi w:val="0"/>
        <w:spacing w:before="120" w:after="0"/>
        <w:jc w:val="center"/>
        <w:rPr>
          <w:rFonts w:ascii="Times New Roman" w:hAnsi="Times New Roman"/>
          <w:b/>
          <w:sz w:val="20"/>
        </w:rPr>
      </w:pPr>
      <w:r>
        <w:rPr>
          <w:rFonts w:ascii="Times New Roman" w:hAnsi="Times New Roman"/>
          <w:b/>
          <w:sz w:val="20"/>
        </w:rPr>
        <w:t xml:space="preserve">Selling Securityholder Questionnaire </w:t>
      </w:r>
    </w:p>
    <w:p>
      <w:pPr>
        <w:pStyle w:val="TextBody"/>
        <w:bidi w:val="0"/>
        <w:spacing w:before="240" w:after="0"/>
        <w:jc w:val="center"/>
        <w:rPr>
          <w:rFonts w:ascii="Times New Roman" w:hAnsi="Times New Roman"/>
          <w:sz w:val="20"/>
        </w:rPr>
      </w:pPr>
      <w:r>
        <w:rPr>
          <w:rFonts w:ascii="Times New Roman" w:hAnsi="Times New Roman"/>
          <w:sz w:val="20"/>
        </w:rPr>
        <w:t xml:space="preserve">[Form of questionnaire for confirming accredited investor status]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center"/>
        <w:rPr>
          <w:rFonts w:ascii="Times New Roman" w:hAnsi="Times New Roman"/>
          <w:sz w:val="20"/>
        </w:rPr>
      </w:pPr>
      <w:r>
        <w:rPr>
          <w:rFonts w:ascii="Times New Roman" w:hAnsi="Times New Roman"/>
          <w:sz w:val="20"/>
        </w:rPr>
        <w:t xml:space="preserve">[Form of language for plan of distribution section of Registration Statement] </w:t>
      </w:r>
    </w:p>
    <w:p>
      <w:pPr>
        <w:pStyle w:val="TextBody"/>
        <w:bidi w:val="0"/>
        <w:spacing w:before="0" w:after="0"/>
        <w:jc w:val="right"/>
        <w:rPr>
          <w:rFonts w:ascii="Times New Roman" w:hAnsi="Times New Roman"/>
          <w:b/>
          <w:sz w:val="20"/>
        </w:rPr>
      </w:pPr>
      <w:bookmarkStart w:id="8" w:name="d642740dex991.htm"/>
      <w:bookmarkStart w:id="9" w:name="ksd642740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145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5048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Kura Oncology Announces Oversubscribed </w:t>
      </w:r>
    </w:p>
    <w:p>
      <w:pPr>
        <w:pStyle w:val="TextBody"/>
        <w:bidi w:val="0"/>
        <w:spacing w:before="0" w:after="0"/>
        <w:jc w:val="center"/>
        <w:rPr>
          <w:rFonts w:ascii="Times New Roman" w:hAnsi="Times New Roman"/>
          <w:b/>
          <w:sz w:val="20"/>
        </w:rPr>
      </w:pPr>
      <w:r>
        <w:rPr>
          <w:rFonts w:ascii="Times New Roman" w:hAnsi="Times New Roman"/>
          <w:b/>
          <w:sz w:val="20"/>
        </w:rPr>
        <w:t xml:space="preserve">$150 Million Private Placement </w:t>
      </w:r>
    </w:p>
    <w:p>
      <w:pPr>
        <w:pStyle w:val="TextBody"/>
        <w:bidi w:val="0"/>
        <w:spacing w:before="240" w:after="0"/>
        <w:jc w:val="center"/>
        <w:rPr>
          <w:rFonts w:ascii="Times New Roman" w:hAnsi="Times New Roman"/>
          <w:sz w:val="20"/>
        </w:rPr>
      </w:pPr>
      <w:r>
        <w:rPr>
          <w:rFonts w:ascii="Times New Roman" w:hAnsi="Times New Roman"/>
          <w:sz w:val="20"/>
        </w:rPr>
        <w:t xml:space="preserve"> Funding from existing investors, including EcoR1 Capital, an affiliate of Deerfield Management and Suvretta Capital  </w:t>
      </w:r>
    </w:p>
    <w:p>
      <w:pPr>
        <w:pStyle w:val="TextBody"/>
        <w:bidi w:val="0"/>
        <w:spacing w:before="120" w:after="0"/>
        <w:jc w:val="center"/>
        <w:rPr>
          <w:rFonts w:ascii="Times New Roman" w:hAnsi="Times New Roman"/>
          <w:sz w:val="20"/>
        </w:rPr>
      </w:pPr>
      <w:r>
        <w:rPr>
          <w:rFonts w:ascii="Times New Roman" w:hAnsi="Times New Roman"/>
          <w:sz w:val="20"/>
        </w:rPr>
        <w:t xml:space="preserve"> Pro forma cash, cash equivalents and investments expected to provide runway into 2027  </w:t>
      </w:r>
    </w:p>
    <w:p>
      <w:pPr>
        <w:pStyle w:val="TextBody"/>
        <w:bidi w:val="0"/>
        <w:spacing w:before="120" w:after="0"/>
        <w:jc w:val="center"/>
        <w:rPr>
          <w:rFonts w:ascii="Times New Roman" w:hAnsi="Times New Roman"/>
          <w:sz w:val="20"/>
        </w:rPr>
      </w:pPr>
      <w:r>
        <w:rPr>
          <w:rFonts w:ascii="Times New Roman" w:hAnsi="Times New Roman"/>
          <w:sz w:val="20"/>
        </w:rPr>
        <w:t xml:space="preserve"> Management to host virtual investor event at 8:00 a.m. ET on January 30 to highlight preliminary combination data for ziftomenib  </w:t>
      </w:r>
    </w:p>
    <w:p>
      <w:pPr>
        <w:pStyle w:val="TextBody"/>
        <w:bidi w:val="0"/>
        <w:spacing w:before="240" w:after="0"/>
        <w:jc w:val="left"/>
        <w:rPr>
          <w:rFonts w:ascii="Times New Roman" w:hAnsi="Times New Roman"/>
          <w:sz w:val="20"/>
        </w:rPr>
      </w:pPr>
      <w:r>
        <w:rPr>
          <w:rFonts w:ascii="Times New Roman" w:hAnsi="Times New Roman"/>
          <w:b/>
          <w:sz w:val="20"/>
        </w:rPr>
        <w:t>SAN DIEGO, Jan. 24, 2024</w:t>
      </w:r>
      <w:r>
        <w:rPr>
          <w:rFonts w:ascii="Times New Roman" w:hAnsi="Times New Roman"/>
          <w:sz w:val="20"/>
        </w:rPr>
        <w:t xml:space="preserve">  Kura Oncology, Inc. (Nasdaq: KURA), a clinical-stage biopharmaceutical company committed to realizing the promise of precision medicines for the treatment of cancer, today announced that it has agreed to sell 1,376,813 shares of its common stock at a price of $17.25 per share, representing a premium of approximately 29% to Kuras closing price on January 23, 2024, and pre-funded warrants to purchase 7,318,886 shares of its common stock at price per pre-funded warrant of $17.2499 to a select group of institutional and accredited healthcare specialist investors in an oversubscribed private placement. The pre-funded warrant exercise price is $0.0001 per share. Kura anticipates the gross proceeds from the private placement to be approximately $150 million, before deducting any offering-related expenses. The private placement is expected to close on or about January 26, 2024,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financing includes participation from existing institutional investors, including EcoR1 Capital, an affiliate of Deerfield Management and Suvretta Capital. Leerink Partners acted as the sole placement agent for the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Kura intends to use the net proceeds from the proposed financing to fund research and development of its clinical-stage product candidates, other research programs, working capital and general corporate purposes. The proceeds from this financing, combined with current cash, cash equivalents and investments, are expected to fund current operations into 2027.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to be sold in the private placement have not been registered under the Securities Act of 1933, as amended (the Securities Act), or any state or other applicable jurisdictions securities laws, and may not be offered or sold in the United States absent registration or an applicable exemption from the registration requirements of the Securities Act and applicable state or other jurisdictions securities laws. Kura has agreed to file a registration statement with the U.S. Securities and Exchange Commission (the SEC) registering the resale of the shares of common stock issued in the private placement and the shares of common stock issuable upon the exercise of the pre-funded warrants issued in the private placement no later than the 30th day after the pricing of the private placement.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offer, solicitation or sale of these securities in any jurisdiction in which such offer, solicitation or sale would be unlawful. Any offering of the securities under the resale registration statement will only be made by means of a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Virtual Investor Event </w:t>
      </w:r>
    </w:p>
    <w:p>
      <w:pPr>
        <w:pStyle w:val="TextBody"/>
        <w:bidi w:val="0"/>
        <w:spacing w:before="120" w:after="0"/>
        <w:jc w:val="left"/>
        <w:rPr>
          <w:rFonts w:ascii="Times New Roman" w:hAnsi="Times New Roman"/>
          <w:sz w:val="20"/>
        </w:rPr>
      </w:pPr>
      <w:r>
        <w:rPr>
          <w:rFonts w:ascii="Times New Roman" w:hAnsi="Times New Roman"/>
          <w:sz w:val="20"/>
        </w:rPr>
        <w:t xml:space="preserve">Kura will host a virtual investor event featuring company management and investigators from the KOMET-007 trial of ziftomenib in combination with standards of care at 8:00 a.m. ET on Tuesday, January 30, 2024. The event will be webcast live and can be accessed on the Investors section of Kuras website at </w:t>
      </w:r>
      <w:r>
        <w:rPr>
          <w:rFonts w:ascii="Times New Roman" w:hAnsi="Times New Roman"/>
          <w:sz w:val="20"/>
          <w:u w:val="single"/>
        </w:rPr>
        <w:t>www.kuraoncology.com</w:t>
      </w:r>
      <w:r>
        <w:rPr>
          <w:rFonts w:ascii="Times New Roman" w:hAnsi="Times New Roman"/>
          <w:sz w:val="20"/>
        </w:rPr>
        <w:t xml:space="preserve">. An archived replay will be available shortly after the conclusion of the live event.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Kura Oncology </w:t>
      </w:r>
    </w:p>
    <w:p>
      <w:pPr>
        <w:pStyle w:val="TextBody"/>
        <w:bidi w:val="0"/>
        <w:spacing w:before="120" w:after="0"/>
        <w:jc w:val="left"/>
        <w:rPr>
          <w:rFonts w:ascii="Times New Roman" w:hAnsi="Times New Roman"/>
          <w:sz w:val="20"/>
        </w:rPr>
      </w:pPr>
      <w:r>
        <w:rPr>
          <w:rFonts w:ascii="Times New Roman" w:hAnsi="Times New Roman"/>
          <w:sz w:val="20"/>
        </w:rPr>
        <w:t xml:space="preserve">Kura Oncology is a clinical-stage biopharmaceutical company committed to realizing the promise of precision medicines for the treatment of cancer. The Companys pipeline consists of small molecule drug candidates that target cancer signaling pathways. Ziftomenib is a once-daily, oral drug candidate targeting the menin-KMT2A protein-protein interaction for the treatment of genetically defined acute myeloid leukemia (AML) patients with high unmet need. Kura is currently enrolling patients in a Phase 2 registration-directed trial of ziftomenib in NPM1-mutant relapsed or refractory AML (KOMET-001). The Company is also conducting a series of studies to evaluate ziftomenib in combination with current standards of care, beginning with venetoclax and azacitidine and 7+3 in NPM1-mutant and KMT2A-rearranged newly diagnosed and relapsed/refractory AML (KOMET-007). Tipifarnib, a potent and selective farnesyl transferase inhibitor (FTI), is currently in a Phase 1/2 trial in combination with alpelisib for patients with PIK3CA-dependent head and neck squamous cell carcinoma (KURRENT-HN). Kura is also evaluating KO-2806, a next-generation FTI, in a Phase 1 dose-escalation trial as a monotherapy and in combination with cabozantinib in clear cell renal cell carcinoma and adagrasib in KRASG12C-mutated non-small cell lung cancer (FIT-001).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press release regarding matters that are not historical facts are forward-looking statements within the meaning of the Private Securities Litigation Reform Act of 1995. Such forward-looking statements include, without limitation, statements about Kuras expectations regarding the completion, timing and size of the private placement, its cash runway, the intended use of the net proceeds, the filing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timing of a resale registration statement and its plans regarding future clinical trials. Because such statements are subject to risks and uncertainties, actual results may differ materially from those expressed or implied by such forward-looking statements. Words such as believes, anticipates, plans, expects, intends, will, goal, potential and similar expressions are intended to identify forward-looking statements. These forward-looking statements are based upon Kuras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associated with market conditions and the satisfaction of closing conditions related to the private placement, risks associated with Kuras cash needs, risks and uncertainties associated with Kuras business and finances in general, and the other risks described in Kuras quarterly report on Form 10-Q for the quarterly period ended September 30, 2023 and other filings with the SEC. All forward-looking statements contained in this press release speak only as of the date on which they were made. Kura undertakes no obligation to update such statements to reflect events that occur or circumstances that exist after the date on which they were made.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w:t>
      </w:r>
    </w:p>
    <w:p>
      <w:pPr>
        <w:pStyle w:val="TextBody"/>
        <w:bidi w:val="0"/>
        <w:spacing w:before="0" w:after="0"/>
        <w:jc w:val="left"/>
        <w:rPr>
          <w:rFonts w:ascii="Times New Roman" w:hAnsi="Times New Roman"/>
          <w:sz w:val="20"/>
        </w:rPr>
      </w:pPr>
      <w:r>
        <w:rPr>
          <w:rFonts w:ascii="Times New Roman" w:hAnsi="Times New Roman"/>
          <w:sz w:val="20"/>
        </w:rPr>
        <w:t xml:space="preserve">Pete De Spain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Investor Relations &amp; </w:t>
      </w:r>
    </w:p>
    <w:p>
      <w:pPr>
        <w:pStyle w:val="TextBody"/>
        <w:bidi w:val="0"/>
        <w:spacing w:before="0" w:after="0"/>
        <w:jc w:val="left"/>
        <w:rPr>
          <w:rFonts w:ascii="Times New Roman" w:hAnsi="Times New Roman"/>
          <w:sz w:val="20"/>
        </w:rPr>
      </w:pPr>
      <w:r>
        <w:rPr>
          <w:rFonts w:ascii="Times New Roman" w:hAnsi="Times New Roman"/>
          <w:sz w:val="20"/>
        </w:rPr>
        <w:t xml:space="preserve">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(858) 500-8833 </w:t>
      </w:r>
    </w:p>
    <w:p>
      <w:pPr>
        <w:pStyle w:val="TextBody"/>
        <w:bidi w:val="0"/>
        <w:spacing w:before="0" w:after="0"/>
        <w:jc w:val="left"/>
        <w:rPr>
          <w:rFonts w:ascii="Times New Roman" w:hAnsi="Times New Roman"/>
          <w:sz w:val="20"/>
        </w:rPr>
      </w:pPr>
      <w:r>
        <w:rPr>
          <w:rFonts w:ascii="Times New Roman" w:hAnsi="Times New Roman"/>
          <w:sz w:val="20"/>
        </w:rPr>
        <w:t xml:space="preserve">pete@kuraoncology.com </w:t>
      </w:r>
    </w:p>
    <w:p>
      <w:pPr>
        <w:pStyle w:val="TextBody"/>
        <w:bidi w:val="0"/>
        <w:spacing w:before="240" w:after="0"/>
        <w:jc w:val="left"/>
        <w:rPr>
          <w:rFonts w:ascii="Times New Roman" w:hAnsi="Times New Roman"/>
          <w:sz w:val="20"/>
        </w:rPr>
      </w:pPr>
      <w:r>
        <w:rPr>
          <w:rFonts w:ascii="Times New Roman" w:hAnsi="Times New Roman"/>
          <w:sz w:val="20"/>
        </w:rPr>
        <w:t xml:space="preserve">Media: </w:t>
      </w:r>
    </w:p>
    <w:p>
      <w:pPr>
        <w:pStyle w:val="TextBody"/>
        <w:bidi w:val="0"/>
        <w:spacing w:before="0" w:after="0"/>
        <w:jc w:val="left"/>
        <w:rPr>
          <w:rFonts w:ascii="Times New Roman" w:hAnsi="Times New Roman"/>
          <w:sz w:val="20"/>
        </w:rPr>
      </w:pPr>
      <w:r>
        <w:rPr>
          <w:rFonts w:ascii="Times New Roman" w:hAnsi="Times New Roman"/>
          <w:sz w:val="20"/>
        </w:rPr>
        <w:t xml:space="preserve">Alexandra Weingarten </w:t>
      </w:r>
    </w:p>
    <w:p>
      <w:pPr>
        <w:pStyle w:val="TextBody"/>
        <w:bidi w:val="0"/>
        <w:spacing w:before="0" w:after="0"/>
        <w:jc w:val="left"/>
        <w:rPr>
          <w:rFonts w:ascii="Times New Roman" w:hAnsi="Times New Roman"/>
          <w:sz w:val="20"/>
        </w:rPr>
      </w:pPr>
      <w:r>
        <w:rPr>
          <w:rFonts w:ascii="Times New Roman" w:hAnsi="Times New Roman"/>
          <w:sz w:val="20"/>
        </w:rPr>
        <w:t xml:space="preserve">Associate Director, Investor Relations &amp; </w:t>
      </w:r>
    </w:p>
    <w:p>
      <w:pPr>
        <w:pStyle w:val="TextBody"/>
        <w:bidi w:val="0"/>
        <w:spacing w:before="0" w:after="0"/>
        <w:jc w:val="left"/>
        <w:rPr>
          <w:rFonts w:ascii="Times New Roman" w:hAnsi="Times New Roman"/>
          <w:sz w:val="20"/>
        </w:rPr>
      </w:pPr>
      <w:r>
        <w:rPr>
          <w:rFonts w:ascii="Times New Roman" w:hAnsi="Times New Roman"/>
          <w:sz w:val="20"/>
        </w:rPr>
        <w:t xml:space="preserve">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(858) 500-8822 </w:t>
      </w:r>
    </w:p>
    <w:p>
      <w:pPr>
        <w:pStyle w:val="TextBody"/>
        <w:bidi w:val="0"/>
        <w:spacing w:before="0" w:after="0"/>
        <w:jc w:val="left"/>
        <w:rPr>
          <w:rFonts w:ascii="Times New Roman" w:hAnsi="Times New Roman"/>
          <w:sz w:val="20"/>
        </w:rPr>
      </w:pPr>
      <w:r>
        <w:rPr>
          <w:rFonts w:ascii="Times New Roman" w:hAnsi="Times New Roman"/>
          <w:sz w:val="20"/>
        </w:rPr>
        <w:t xml:space="preserve">alexandra@kuraoncology.com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46516</Words>
  <Characters>243555</Characters>
  <CharactersWithSpaces>289283</CharactersWithSpaces>
  <Paragraphs>2035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